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hint="default" w:ascii="Times New Roman" w:hAnsi="Times New Roman" w:cs="Times New Roman"/>
          <w:b/>
          <w:sz w:val="36"/>
          <w:szCs w:val="32"/>
          <w:highlight w:val="none"/>
        </w:rPr>
      </w:pPr>
      <w:r>
        <w:rPr>
          <w:rFonts w:hint="default" w:ascii="Times New Roman" w:hAnsi="Times New Roman" w:cs="Times New Roman"/>
          <w:b/>
          <w:sz w:val="36"/>
          <w:szCs w:val="32"/>
          <w:highlight w:val="none"/>
        </w:rPr>
        <w:t xml:space="preserve">                                                                                                                 </w:t>
      </w:r>
    </w:p>
    <w:p>
      <w:pPr>
        <w:spacing w:line="220" w:lineRule="atLeast"/>
        <w:ind w:firstLine="0" w:firstLineChars="0"/>
        <w:jc w:val="both"/>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ind w:firstLine="0" w:firstLineChars="0"/>
        <w:jc w:val="center"/>
        <w:rPr>
          <w:rFonts w:hint="eastAsia" w:ascii="Times New Roman" w:hAnsi="Times New Roman" w:cs="Times New Roman"/>
          <w:b/>
          <w:sz w:val="52"/>
          <w:szCs w:val="52"/>
          <w:highlight w:val="none"/>
          <w:lang w:eastAsia="zh-CN"/>
        </w:rPr>
      </w:pPr>
      <w:r>
        <w:rPr>
          <w:rFonts w:hint="eastAsia" w:ascii="Times New Roman" w:hAnsi="Times New Roman" w:cs="Times New Roman"/>
          <w:b/>
          <w:sz w:val="52"/>
          <w:szCs w:val="52"/>
          <w:highlight w:val="none"/>
          <w:lang w:eastAsia="zh-CN"/>
        </w:rPr>
        <w:t>安阳九久化学科技有限公司</w:t>
      </w:r>
    </w:p>
    <w:p>
      <w:pPr>
        <w:ind w:firstLine="0" w:firstLineChars="0"/>
        <w:jc w:val="center"/>
        <w:rPr>
          <w:rFonts w:hint="default" w:ascii="Times New Roman" w:hAnsi="Times New Roman" w:eastAsia="宋体" w:cs="Times New Roman"/>
          <w:b/>
          <w:sz w:val="52"/>
          <w:szCs w:val="52"/>
          <w:highlight w:val="none"/>
          <w:lang w:eastAsia="zh-CN"/>
        </w:rPr>
      </w:pPr>
      <w:r>
        <w:rPr>
          <w:rFonts w:hint="default" w:ascii="Times New Roman" w:hAnsi="Times New Roman" w:cs="Times New Roman"/>
          <w:b/>
          <w:sz w:val="52"/>
          <w:szCs w:val="52"/>
          <w:highlight w:val="none"/>
          <w:lang w:eastAsia="zh-CN"/>
        </w:rPr>
        <w:t>土壤污染隐患排查报告</w:t>
      </w: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pStyle w:val="18"/>
        <w:rPr>
          <w:rFonts w:hint="default" w:ascii="Times New Roman" w:hAnsi="Times New Roman" w:cs="Times New Roman"/>
          <w:b/>
          <w:sz w:val="36"/>
          <w:szCs w:val="32"/>
          <w:highlight w:val="none"/>
        </w:rPr>
      </w:pPr>
    </w:p>
    <w:p>
      <w:pPr>
        <w:rPr>
          <w:rFonts w:hint="default" w:ascii="Times New Roman" w:hAnsi="Times New Roman" w:cs="Times New Roman"/>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jc w:val="center"/>
        <w:rPr>
          <w:rFonts w:hint="default" w:ascii="Times New Roman" w:hAnsi="Times New Roman" w:cs="Times New Roman"/>
          <w:b/>
          <w:sz w:val="36"/>
          <w:szCs w:val="32"/>
          <w:highlight w:val="none"/>
        </w:rPr>
      </w:pPr>
    </w:p>
    <w:p>
      <w:pPr>
        <w:spacing w:line="220" w:lineRule="atLeast"/>
        <w:ind w:firstLine="0" w:firstLineChars="0"/>
        <w:rPr>
          <w:rFonts w:hint="default" w:ascii="Times New Roman" w:hAnsi="Times New Roman" w:cs="Times New Roman"/>
          <w:b/>
          <w:sz w:val="36"/>
          <w:szCs w:val="32"/>
          <w:highlight w:val="none"/>
        </w:rPr>
      </w:pPr>
    </w:p>
    <w:p>
      <w:pPr>
        <w:pStyle w:val="2"/>
        <w:rPr>
          <w:rFonts w:hint="default" w:ascii="Times New Roman" w:hAnsi="Times New Roman" w:cs="Times New Roman"/>
        </w:rPr>
      </w:pPr>
    </w:p>
    <w:p>
      <w:pPr>
        <w:spacing w:line="220" w:lineRule="atLeast"/>
        <w:ind w:firstLine="0" w:firstLineChars="0"/>
        <w:jc w:val="center"/>
        <w:rPr>
          <w:rFonts w:hint="default" w:ascii="Times New Roman" w:hAnsi="Times New Roman" w:cs="Times New Roman"/>
          <w:b/>
          <w:sz w:val="36"/>
          <w:szCs w:val="32"/>
          <w:highlight w:val="none"/>
        </w:rPr>
      </w:pPr>
    </w:p>
    <w:p>
      <w:pPr>
        <w:ind w:firstLine="0" w:firstLineChars="0"/>
        <w:jc w:val="center"/>
        <w:rPr>
          <w:rFonts w:hint="eastAsia" w:ascii="Times New Roman" w:hAnsi="Times New Roman" w:cs="Times New Roman"/>
          <w:b/>
          <w:sz w:val="36"/>
          <w:szCs w:val="32"/>
          <w:highlight w:val="none"/>
          <w:lang w:val="en-US" w:eastAsia="zh-CN"/>
        </w:rPr>
      </w:pPr>
      <w:bookmarkStart w:id="0" w:name="_Toc11251_WPSOffice_Level1"/>
      <w:r>
        <w:rPr>
          <w:rFonts w:hint="eastAsia" w:ascii="Times New Roman" w:hAnsi="Times New Roman" w:cs="Times New Roman"/>
          <w:b/>
          <w:sz w:val="36"/>
          <w:szCs w:val="32"/>
          <w:highlight w:val="none"/>
          <w:lang w:val="en-US" w:eastAsia="zh-CN"/>
        </w:rPr>
        <w:t>安阳九久化学科技有限公司</w:t>
      </w:r>
    </w:p>
    <w:p>
      <w:pPr>
        <w:ind w:firstLine="0" w:firstLineChars="0"/>
        <w:jc w:val="center"/>
        <w:rPr>
          <w:rFonts w:hint="default" w:ascii="Times New Roman" w:hAnsi="Times New Roman" w:cs="Times New Roman"/>
          <w:b/>
          <w:sz w:val="36"/>
          <w:szCs w:val="32"/>
          <w:highlight w:val="none"/>
        </w:rPr>
      </w:pPr>
      <w:r>
        <w:rPr>
          <w:rFonts w:hint="default" w:ascii="Times New Roman" w:hAnsi="Times New Roman" w:cs="Times New Roman"/>
          <w:b/>
          <w:sz w:val="36"/>
          <w:szCs w:val="32"/>
          <w:highlight w:val="none"/>
        </w:rPr>
        <w:t>20</w:t>
      </w:r>
      <w:r>
        <w:rPr>
          <w:rFonts w:hint="default" w:ascii="Times New Roman" w:hAnsi="Times New Roman" w:cs="Times New Roman"/>
          <w:b/>
          <w:sz w:val="36"/>
          <w:szCs w:val="32"/>
          <w:highlight w:val="none"/>
          <w:lang w:val="en-US" w:eastAsia="zh-CN"/>
        </w:rPr>
        <w:t>21</w:t>
      </w:r>
      <w:r>
        <w:rPr>
          <w:rFonts w:hint="default" w:ascii="Times New Roman" w:hAnsi="Times New Roman" w:cs="Times New Roman"/>
          <w:b/>
          <w:sz w:val="36"/>
          <w:szCs w:val="32"/>
          <w:highlight w:val="none"/>
        </w:rPr>
        <w:t>年</w:t>
      </w:r>
      <w:r>
        <w:rPr>
          <w:rFonts w:hint="default" w:ascii="Times New Roman" w:hAnsi="Times New Roman" w:cs="Times New Roman"/>
          <w:b/>
          <w:sz w:val="36"/>
          <w:szCs w:val="32"/>
          <w:highlight w:val="none"/>
          <w:lang w:val="en-US" w:eastAsia="zh-CN"/>
        </w:rPr>
        <w:t>0</w:t>
      </w:r>
      <w:r>
        <w:rPr>
          <w:rFonts w:hint="eastAsia" w:ascii="Times New Roman" w:hAnsi="Times New Roman" w:cs="Times New Roman"/>
          <w:b/>
          <w:sz w:val="36"/>
          <w:szCs w:val="32"/>
          <w:highlight w:val="none"/>
          <w:lang w:val="en-US" w:eastAsia="zh-CN"/>
        </w:rPr>
        <w:t>8</w:t>
      </w:r>
      <w:r>
        <w:rPr>
          <w:rFonts w:hint="default" w:ascii="Times New Roman" w:hAnsi="Times New Roman" w:cs="Times New Roman"/>
          <w:b/>
          <w:sz w:val="36"/>
          <w:szCs w:val="32"/>
          <w:highlight w:val="none"/>
        </w:rPr>
        <w:t>月</w:t>
      </w:r>
      <w:bookmarkEnd w:id="0"/>
    </w:p>
    <w:p>
      <w:pPr>
        <w:spacing w:line="220" w:lineRule="atLeast"/>
        <w:ind w:firstLine="723"/>
        <w:jc w:val="center"/>
        <w:rPr>
          <w:rFonts w:hint="default" w:ascii="Times New Roman" w:hAnsi="Times New Roman" w:cs="Times New Roman"/>
          <w:b/>
          <w:sz w:val="36"/>
          <w:szCs w:val="32"/>
          <w:highlight w:val="none"/>
        </w:rPr>
      </w:pPr>
    </w:p>
    <w:p>
      <w:pPr>
        <w:pStyle w:val="2"/>
        <w:rPr>
          <w:rFonts w:hint="default" w:ascii="Times New Roman" w:hAnsi="Times New Roman" w:cs="Times New Roman"/>
          <w:b/>
          <w:sz w:val="36"/>
          <w:szCs w:val="32"/>
          <w:highlight w:val="none"/>
        </w:rPr>
      </w:pPr>
    </w:p>
    <w:p>
      <w:pPr>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5" w:h="16838"/>
          <w:pgMar w:top="1134" w:right="1134" w:bottom="1134" w:left="1134" w:header="709" w:footer="709" w:gutter="0"/>
          <w:pgBorders>
            <w:top w:val="none" w:sz="0" w:space="0"/>
            <w:left w:val="none" w:sz="0" w:space="0"/>
            <w:bottom w:val="none" w:sz="0" w:space="0"/>
            <w:right w:val="none" w:sz="0" w:space="0"/>
          </w:pgBorders>
          <w:cols w:space="0" w:num="1"/>
          <w:rtlGutter w:val="0"/>
          <w:docGrid w:linePitch="360" w:charSpace="0"/>
        </w:sectPr>
      </w:pPr>
    </w:p>
    <w:p>
      <w:pPr>
        <w:pStyle w:val="18"/>
        <w:rPr>
          <w:rFonts w:hint="default" w:ascii="Times New Roman" w:hAnsi="Times New Roman" w:eastAsia="宋体" w:cs="Times New Roman"/>
          <w:b/>
          <w:sz w:val="36"/>
          <w:szCs w:val="32"/>
          <w:highlight w:val="none"/>
          <w:lang w:eastAsia="zh-CN"/>
        </w:rPr>
      </w:pPr>
      <w:bookmarkStart w:id="1" w:name="_Toc6085"/>
      <w:bookmarkStart w:id="2" w:name="_Toc31927"/>
      <w:bookmarkStart w:id="3" w:name="_Toc17721"/>
      <w:bookmarkStart w:id="4" w:name="_Toc23020032"/>
      <w:bookmarkStart w:id="5" w:name="_Toc15186"/>
      <w:bookmarkStart w:id="6" w:name="_Toc12914"/>
    </w:p>
    <w:p>
      <w:pPr>
        <w:rPr>
          <w:rFonts w:hint="default" w:ascii="Times New Roman" w:hAnsi="Times New Roman" w:eastAsia="宋体" w:cs="Times New Roman"/>
          <w:b/>
          <w:sz w:val="36"/>
          <w:szCs w:val="32"/>
          <w:highlight w:val="none"/>
          <w:lang w:eastAsia="zh-CN"/>
        </w:rPr>
      </w:pPr>
    </w:p>
    <w:p>
      <w:pPr>
        <w:ind w:firstLine="560"/>
        <w:jc w:val="center"/>
        <w:rPr>
          <w:rFonts w:hint="default" w:ascii="Times New Roman" w:hAnsi="Times New Roman" w:eastAsia="宋体" w:cs="Times New Roman"/>
          <w:sz w:val="28"/>
          <w:szCs w:val="22"/>
          <w:highlight w:val="none"/>
          <w:lang w:val="en-US" w:eastAsia="zh-CN" w:bidi="ar-SA"/>
        </w:rPr>
      </w:pPr>
      <w:bookmarkStart w:id="7" w:name="_Toc6719"/>
      <w:r>
        <w:rPr>
          <w:rFonts w:hint="default" w:ascii="Times New Roman" w:hAnsi="Times New Roman" w:cs="Times New Roman"/>
          <w:highlight w:val="none"/>
        </w:rPr>
        <w:t>目   录</w:t>
      </w:r>
      <w:bookmarkEnd w:id="1"/>
      <w:bookmarkEnd w:id="2"/>
      <w:bookmarkEnd w:id="3"/>
      <w:bookmarkEnd w:id="4"/>
      <w:bookmarkEnd w:id="5"/>
      <w:bookmarkEnd w:id="7"/>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TOC \o "1-3" \h \z \u </w:instrText>
      </w:r>
      <w:r>
        <w:rPr>
          <w:rFonts w:hint="default" w:ascii="Times New Roman" w:hAnsi="Times New Roman" w:cs="Times New Roman"/>
          <w:highlight w:val="none"/>
        </w:rPr>
        <w:fldChar w:fldCharType="separate"/>
      </w:r>
      <w:bookmarkEnd w:id="6"/>
    </w:p>
    <w:p>
      <w:pPr>
        <w:pStyle w:val="16"/>
        <w:tabs>
          <w:tab w:val="right" w:leader="dot" w:pos="9637"/>
          <w:tab w:val="clear" w:pos="8296"/>
        </w:tabs>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_Toc25407 </w:instrText>
      </w:r>
      <w:r>
        <w:rPr>
          <w:rFonts w:hint="default" w:ascii="Times New Roman" w:hAnsi="Times New Roman" w:cs="Times New Roman"/>
          <w:highlight w:val="none"/>
        </w:rPr>
        <w:fldChar w:fldCharType="separate"/>
      </w:r>
      <w:r>
        <w:rPr>
          <w:rFonts w:hint="default" w:ascii="Times New Roman" w:hAnsi="Times New Roman" w:cs="Times New Roman"/>
          <w:szCs w:val="32"/>
          <w:highlight w:val="none"/>
        </w:rPr>
        <w:t>1、</w:t>
      </w:r>
      <w:r>
        <w:rPr>
          <w:rFonts w:hint="default" w:ascii="Times New Roman" w:hAnsi="Times New Roman" w:cs="Times New Roman"/>
          <w:szCs w:val="32"/>
          <w:highlight w:val="none"/>
          <w:lang w:val="en-US" w:eastAsia="zh-CN"/>
        </w:rPr>
        <w:t>总论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_Toc25407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_Toc24345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1.1</w:t>
      </w:r>
      <w:r>
        <w:rPr>
          <w:rFonts w:hint="default" w:ascii="Times New Roman" w:hAnsi="Times New Roman" w:cs="Times New Roman"/>
          <w:szCs w:val="30"/>
          <w:highlight w:val="none"/>
          <w:lang w:val="en-US" w:eastAsia="zh-CN"/>
        </w:rPr>
        <w:t>编制背景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_Toc24345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_Toc24095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1.2排查目的和原则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_Toc24095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_Toc19479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1.</w:t>
      </w:r>
      <w:r>
        <w:rPr>
          <w:rFonts w:hint="default" w:ascii="Times New Roman" w:hAnsi="Times New Roman" w:cs="Times New Roman"/>
          <w:szCs w:val="30"/>
          <w:highlight w:val="none"/>
          <w:lang w:val="en-US" w:eastAsia="zh-CN"/>
        </w:rPr>
        <w:t>3</w:t>
      </w:r>
      <w:r>
        <w:rPr>
          <w:rFonts w:hint="default" w:ascii="Times New Roman" w:hAnsi="Times New Roman" w:cs="Times New Roman"/>
          <w:szCs w:val="30"/>
          <w:highlight w:val="none"/>
        </w:rPr>
        <w:t>排查范围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_Toc19479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_Toc687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1.</w:t>
      </w:r>
      <w:r>
        <w:rPr>
          <w:rFonts w:hint="default" w:ascii="Times New Roman" w:hAnsi="Times New Roman" w:cs="Times New Roman"/>
          <w:szCs w:val="30"/>
          <w:highlight w:val="none"/>
          <w:lang w:val="en-US" w:eastAsia="zh-CN"/>
        </w:rPr>
        <w:t>4</w:t>
      </w:r>
      <w:r>
        <w:rPr>
          <w:rFonts w:hint="default" w:ascii="Times New Roman" w:hAnsi="Times New Roman" w:cs="Times New Roman"/>
          <w:szCs w:val="30"/>
          <w:highlight w:val="none"/>
        </w:rPr>
        <w:t>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_Toc687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6"/>
        <w:tabs>
          <w:tab w:val="right" w:leader="dot" w:pos="9637"/>
          <w:tab w:val="clear" w:pos="8296"/>
        </w:tabs>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_Toc14434 </w:instrText>
      </w:r>
      <w:r>
        <w:rPr>
          <w:rFonts w:hint="default" w:ascii="Times New Roman" w:hAnsi="Times New Roman" w:cs="Times New Roman"/>
          <w:highlight w:val="none"/>
        </w:rPr>
        <w:fldChar w:fldCharType="separate"/>
      </w:r>
      <w:r>
        <w:rPr>
          <w:rFonts w:hint="default" w:ascii="Times New Roman" w:hAnsi="Times New Roman" w:cs="Times New Roman"/>
          <w:szCs w:val="32"/>
          <w:highlight w:val="none"/>
        </w:rPr>
        <w:t>2、</w:t>
      </w:r>
      <w:r>
        <w:rPr>
          <w:rFonts w:hint="default" w:ascii="Times New Roman" w:hAnsi="Times New Roman" w:cs="Times New Roman"/>
          <w:szCs w:val="32"/>
          <w:highlight w:val="none"/>
          <w:lang w:val="en-US" w:eastAsia="zh-CN"/>
        </w:rPr>
        <w:t>企业概况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_Toc14434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_Toc23016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2.1</w:t>
      </w:r>
      <w:r>
        <w:rPr>
          <w:rFonts w:hint="default" w:ascii="Times New Roman" w:hAnsi="Times New Roman" w:cs="Times New Roman"/>
          <w:szCs w:val="30"/>
          <w:highlight w:val="none"/>
          <w:lang w:val="en-US" w:eastAsia="zh-CN"/>
        </w:rPr>
        <w:t>企业基本信息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_Toc23016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_Toc8281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2.2建设项目概况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_Toc8281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_Toc5484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2.</w:t>
      </w:r>
      <w:r>
        <w:rPr>
          <w:rFonts w:hint="default" w:ascii="Times New Roman" w:hAnsi="Times New Roman" w:cs="Times New Roman"/>
          <w:szCs w:val="30"/>
          <w:highlight w:val="none"/>
          <w:lang w:val="en-US" w:eastAsia="zh-CN"/>
        </w:rPr>
        <w:t>3原辅料及产品情况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_Toc5484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_Toc16562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2.</w:t>
      </w:r>
      <w:r>
        <w:rPr>
          <w:rFonts w:hint="default" w:ascii="Times New Roman" w:hAnsi="Times New Roman" w:cs="Times New Roman"/>
          <w:szCs w:val="30"/>
          <w:highlight w:val="none"/>
          <w:lang w:val="en-US" w:eastAsia="zh-CN"/>
        </w:rPr>
        <w:t>4生产工艺及产排污环节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_Toc16562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_Toc489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2.</w:t>
      </w:r>
      <w:r>
        <w:rPr>
          <w:rFonts w:hint="default" w:ascii="Times New Roman" w:hAnsi="Times New Roman" w:cs="Times New Roman"/>
          <w:szCs w:val="30"/>
          <w:highlight w:val="none"/>
          <w:lang w:val="en-US" w:eastAsia="zh-CN"/>
        </w:rPr>
        <w:t>5 涉及的有毒有害物质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_Toc489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_Toc26810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2.</w:t>
      </w:r>
      <w:r>
        <w:rPr>
          <w:rFonts w:hint="default" w:ascii="Times New Roman" w:hAnsi="Times New Roman" w:cs="Times New Roman"/>
          <w:szCs w:val="30"/>
          <w:highlight w:val="none"/>
          <w:lang w:val="en-US" w:eastAsia="zh-CN"/>
        </w:rPr>
        <w:t>6 污染防治措施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_Toc26810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_Toc23552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rPr>
        <w:t>2.</w:t>
      </w:r>
      <w:r>
        <w:rPr>
          <w:rFonts w:hint="default" w:ascii="Times New Roman" w:hAnsi="Times New Roman" w:cs="Times New Roman"/>
          <w:szCs w:val="30"/>
          <w:highlight w:val="none"/>
          <w:lang w:val="en-US" w:eastAsia="zh-CN"/>
        </w:rPr>
        <w:t>7 历史土壤和地下水环境监测信息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_Toc23552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6"/>
        <w:tabs>
          <w:tab w:val="right" w:leader="dot" w:pos="9637"/>
          <w:tab w:val="clear" w:pos="8296"/>
        </w:tabs>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_Toc27437 </w:instrText>
      </w:r>
      <w:r>
        <w:rPr>
          <w:rFonts w:hint="default" w:ascii="Times New Roman" w:hAnsi="Times New Roman" w:cs="Times New Roman"/>
          <w:highlight w:val="none"/>
        </w:rPr>
        <w:fldChar w:fldCharType="separate"/>
      </w:r>
      <w:r>
        <w:rPr>
          <w:rFonts w:hint="default" w:ascii="Times New Roman" w:hAnsi="Times New Roman" w:cs="Times New Roman"/>
          <w:szCs w:val="32"/>
          <w:highlight w:val="none"/>
          <w:lang w:val="en-US" w:eastAsia="zh-CN"/>
        </w:rPr>
        <w:t>3</w:t>
      </w:r>
      <w:r>
        <w:rPr>
          <w:rFonts w:hint="default" w:ascii="Times New Roman" w:hAnsi="Times New Roman" w:cs="Times New Roman"/>
          <w:szCs w:val="32"/>
          <w:highlight w:val="none"/>
        </w:rPr>
        <w:t>、排查方法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_Toc27437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_Toc8723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lang w:val="en-US" w:eastAsia="zh-CN"/>
        </w:rPr>
        <w:t>3</w:t>
      </w:r>
      <w:r>
        <w:rPr>
          <w:rFonts w:hint="default" w:ascii="Times New Roman" w:hAnsi="Times New Roman" w:cs="Times New Roman"/>
          <w:szCs w:val="30"/>
          <w:highlight w:val="none"/>
        </w:rPr>
        <w:t>.1资料收集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_Toc8723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_Toc12748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lang w:val="en-US" w:eastAsia="zh-CN"/>
        </w:rPr>
        <w:t>3</w:t>
      </w:r>
      <w:r>
        <w:rPr>
          <w:rFonts w:hint="default" w:ascii="Times New Roman" w:hAnsi="Times New Roman" w:cs="Times New Roman"/>
          <w:szCs w:val="30"/>
          <w:highlight w:val="none"/>
        </w:rPr>
        <w:t>.</w:t>
      </w:r>
      <w:r>
        <w:rPr>
          <w:rFonts w:hint="default" w:ascii="Times New Roman" w:hAnsi="Times New Roman" w:cs="Times New Roman"/>
          <w:szCs w:val="30"/>
          <w:highlight w:val="none"/>
          <w:lang w:val="en-US" w:eastAsia="zh-CN"/>
        </w:rPr>
        <w:t>2人员访谈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_Toc12748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_Toc84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lang w:val="en-US" w:eastAsia="zh-CN"/>
        </w:rPr>
        <w:t>3</w:t>
      </w:r>
      <w:r>
        <w:rPr>
          <w:rFonts w:hint="default" w:ascii="Times New Roman" w:hAnsi="Times New Roman" w:cs="Times New Roman"/>
          <w:szCs w:val="30"/>
          <w:highlight w:val="none"/>
        </w:rPr>
        <w:t>.</w:t>
      </w:r>
      <w:r>
        <w:rPr>
          <w:rFonts w:hint="default" w:ascii="Times New Roman" w:hAnsi="Times New Roman" w:cs="Times New Roman"/>
          <w:szCs w:val="30"/>
          <w:highlight w:val="none"/>
          <w:lang w:val="en-US" w:eastAsia="zh-CN"/>
        </w:rPr>
        <w:t>3重点场所或者重点设施设备确定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_Toc2774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lang w:val="en-US" w:eastAsia="zh-CN"/>
        </w:rPr>
        <w:t>3</w:t>
      </w:r>
      <w:r>
        <w:rPr>
          <w:rFonts w:hint="default" w:ascii="Times New Roman" w:hAnsi="Times New Roman" w:cs="Times New Roman"/>
          <w:szCs w:val="30"/>
          <w:highlight w:val="none"/>
        </w:rPr>
        <w:t>.</w:t>
      </w:r>
      <w:r>
        <w:rPr>
          <w:rFonts w:hint="default" w:ascii="Times New Roman" w:hAnsi="Times New Roman" w:cs="Times New Roman"/>
          <w:szCs w:val="30"/>
          <w:highlight w:val="none"/>
          <w:lang w:val="en-US" w:eastAsia="zh-CN"/>
        </w:rPr>
        <w:t>4现场排查方法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_Toc2774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6"/>
        <w:tabs>
          <w:tab w:val="right" w:leader="dot" w:pos="9637"/>
          <w:tab w:val="clear" w:pos="8296"/>
        </w:tabs>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_Toc31600 </w:instrText>
      </w:r>
      <w:r>
        <w:rPr>
          <w:rFonts w:hint="default" w:ascii="Times New Roman" w:hAnsi="Times New Roman" w:cs="Times New Roman"/>
          <w:highlight w:val="none"/>
        </w:rPr>
        <w:fldChar w:fldCharType="separate"/>
      </w:r>
      <w:r>
        <w:rPr>
          <w:rFonts w:hint="default" w:ascii="Times New Roman" w:hAnsi="Times New Roman" w:cs="Times New Roman"/>
          <w:szCs w:val="32"/>
          <w:highlight w:val="none"/>
          <w:lang w:val="en-US" w:eastAsia="zh-CN"/>
        </w:rPr>
        <w:t>4</w:t>
      </w:r>
      <w:r>
        <w:rPr>
          <w:rFonts w:hint="default" w:ascii="Times New Roman" w:hAnsi="Times New Roman" w:cs="Times New Roman"/>
          <w:szCs w:val="32"/>
          <w:highlight w:val="none"/>
        </w:rPr>
        <w:t>、土壤污染隐患排查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_Toc31600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_Toc25068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lang w:val="en-US" w:eastAsia="zh-CN"/>
        </w:rPr>
        <w:t>4</w:t>
      </w:r>
      <w:r>
        <w:rPr>
          <w:rFonts w:hint="default" w:ascii="Times New Roman" w:hAnsi="Times New Roman" w:cs="Times New Roman"/>
          <w:szCs w:val="30"/>
          <w:highlight w:val="none"/>
        </w:rPr>
        <w:t>.</w:t>
      </w:r>
      <w:r>
        <w:rPr>
          <w:rFonts w:hint="default" w:ascii="Times New Roman" w:hAnsi="Times New Roman" w:cs="Times New Roman"/>
          <w:szCs w:val="30"/>
          <w:highlight w:val="none"/>
          <w:lang w:val="en-US" w:eastAsia="zh-CN"/>
        </w:rPr>
        <w:t>1</w:t>
      </w:r>
      <w:r>
        <w:rPr>
          <w:rFonts w:hint="default" w:ascii="Times New Roman" w:hAnsi="Times New Roman" w:cs="Times New Roman"/>
          <w:szCs w:val="30"/>
          <w:highlight w:val="none"/>
        </w:rPr>
        <w:t xml:space="preserve"> 重点场所、重点设施设备隐患排查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_Toc25068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_Toc2958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lang w:val="en-US" w:eastAsia="zh-CN"/>
        </w:rPr>
        <w:t>4</w:t>
      </w:r>
      <w:r>
        <w:rPr>
          <w:rFonts w:hint="default" w:ascii="Times New Roman" w:hAnsi="Times New Roman" w:cs="Times New Roman"/>
          <w:szCs w:val="30"/>
          <w:highlight w:val="none"/>
        </w:rPr>
        <w:t>.</w:t>
      </w:r>
      <w:r>
        <w:rPr>
          <w:rFonts w:hint="default" w:ascii="Times New Roman" w:hAnsi="Times New Roman" w:cs="Times New Roman"/>
          <w:szCs w:val="30"/>
          <w:highlight w:val="none"/>
          <w:lang w:val="en-US" w:eastAsia="zh-CN"/>
        </w:rPr>
        <w:t>2</w:t>
      </w:r>
      <w:r>
        <w:rPr>
          <w:rFonts w:hint="default" w:ascii="Times New Roman" w:hAnsi="Times New Roman" w:cs="Times New Roman"/>
          <w:szCs w:val="30"/>
          <w:highlight w:val="none"/>
        </w:rPr>
        <w:t xml:space="preserve"> 隐患排查台账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_Toc2958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6"/>
        <w:tabs>
          <w:tab w:val="right" w:leader="dot" w:pos="9637"/>
          <w:tab w:val="clear" w:pos="8296"/>
        </w:tabs>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_Toc9622 </w:instrText>
      </w:r>
      <w:r>
        <w:rPr>
          <w:rFonts w:hint="default" w:ascii="Times New Roman" w:hAnsi="Times New Roman" w:cs="Times New Roman"/>
          <w:highlight w:val="none"/>
        </w:rPr>
        <w:fldChar w:fldCharType="separate"/>
      </w:r>
      <w:r>
        <w:rPr>
          <w:rFonts w:hint="default" w:ascii="Times New Roman" w:hAnsi="Times New Roman" w:cs="Times New Roman"/>
          <w:szCs w:val="32"/>
          <w:highlight w:val="none"/>
          <w:lang w:val="en-US" w:eastAsia="zh-CN"/>
        </w:rPr>
        <w:t>5</w:t>
      </w:r>
      <w:r>
        <w:rPr>
          <w:rFonts w:hint="default" w:ascii="Times New Roman" w:hAnsi="Times New Roman" w:cs="Times New Roman"/>
          <w:szCs w:val="32"/>
          <w:highlight w:val="none"/>
        </w:rPr>
        <w:t>、结论和建议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_Toc9622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_Toc18467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lang w:val="en-US" w:eastAsia="zh-CN"/>
        </w:rPr>
        <w:t>5</w:t>
      </w:r>
      <w:r>
        <w:rPr>
          <w:rFonts w:hint="default" w:ascii="Times New Roman" w:hAnsi="Times New Roman" w:cs="Times New Roman"/>
          <w:szCs w:val="30"/>
          <w:highlight w:val="none"/>
        </w:rPr>
        <w:t>.1 隐患排查结论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_Toc18467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_Toc11839 </w:instrText>
      </w:r>
      <w:r>
        <w:rPr>
          <w:rFonts w:hint="default" w:ascii="Times New Roman" w:hAnsi="Times New Roman" w:cs="Times New Roman"/>
          <w:highlight w:val="none"/>
        </w:rPr>
        <w:fldChar w:fldCharType="separate"/>
      </w:r>
      <w:r>
        <w:rPr>
          <w:rFonts w:hint="default" w:ascii="Times New Roman" w:hAnsi="Times New Roman" w:cs="Times New Roman"/>
          <w:szCs w:val="30"/>
          <w:highlight w:val="none"/>
          <w:lang w:val="en-US" w:eastAsia="zh-CN"/>
        </w:rPr>
        <w:t>5</w:t>
      </w:r>
      <w:r>
        <w:rPr>
          <w:rFonts w:hint="default" w:ascii="Times New Roman" w:hAnsi="Times New Roman" w:cs="Times New Roman"/>
          <w:szCs w:val="30"/>
          <w:highlight w:val="none"/>
        </w:rPr>
        <w:t>.</w:t>
      </w:r>
      <w:r>
        <w:rPr>
          <w:rFonts w:hint="default" w:ascii="Times New Roman" w:hAnsi="Times New Roman" w:cs="Times New Roman"/>
          <w:szCs w:val="30"/>
          <w:highlight w:val="none"/>
          <w:lang w:val="en-US" w:eastAsia="zh-CN"/>
        </w:rPr>
        <w:t>2</w:t>
      </w:r>
      <w:r>
        <w:rPr>
          <w:rFonts w:hint="default" w:ascii="Times New Roman" w:hAnsi="Times New Roman" w:cs="Times New Roman"/>
          <w:szCs w:val="30"/>
          <w:highlight w:val="none"/>
        </w:rPr>
        <w:t xml:space="preserve"> 隐患整改方案或建议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_Toc11839 \h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19"/>
        <w:tabs>
          <w:tab w:val="right" w:leader="dot" w:pos="9637"/>
        </w:tabs>
        <w:ind w:left="0" w:leftChars="0" w:firstLine="560" w:firstLineChars="200"/>
        <w:rPr>
          <w:rFonts w:hint="default" w:ascii="Times New Roman" w:hAnsi="Times New Roman" w:cs="Times New Roma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_Toc29585 </w:instrText>
      </w:r>
      <w:r>
        <w:rPr>
          <w:rFonts w:hint="default" w:ascii="Times New Roman" w:hAnsi="Times New Roman" w:cs="Times New Roman"/>
          <w:highlight w:val="none"/>
        </w:rPr>
        <w:fldChar w:fldCharType="separate"/>
      </w:r>
      <w:r>
        <w:rPr>
          <w:rFonts w:hint="default" w:ascii="Times New Roman" w:hAnsi="Times New Roman" w:eastAsia="宋体" w:cs="Times New Roman"/>
          <w:szCs w:val="30"/>
          <w:highlight w:val="none"/>
          <w:lang w:val="en-US" w:eastAsia="zh-CN"/>
        </w:rPr>
        <w:t>5</w:t>
      </w:r>
      <w:r>
        <w:rPr>
          <w:rFonts w:hint="default" w:ascii="Times New Roman" w:hAnsi="Times New Roman" w:eastAsia="宋体" w:cs="Times New Roman"/>
          <w:szCs w:val="30"/>
          <w:highlight w:val="none"/>
        </w:rPr>
        <w:t>.</w:t>
      </w:r>
      <w:r>
        <w:rPr>
          <w:rFonts w:hint="default" w:ascii="Times New Roman" w:hAnsi="Times New Roman" w:eastAsia="宋体" w:cs="Times New Roman"/>
          <w:szCs w:val="30"/>
          <w:highlight w:val="none"/>
          <w:lang w:val="en-US" w:eastAsia="zh-CN"/>
        </w:rPr>
        <w:t>3</w:t>
      </w:r>
      <w:r>
        <w:rPr>
          <w:rFonts w:hint="default" w:ascii="Times New Roman" w:hAnsi="Times New Roman" w:eastAsia="宋体" w:cs="Times New Roman"/>
          <w:szCs w:val="30"/>
          <w:highlight w:val="none"/>
        </w:rPr>
        <w:t xml:space="preserve"> 对土壤和地下水自行监测工作建议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_Toc29585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highlight w:val="none"/>
        </w:rPr>
        <w:fldChar w:fldCharType="end"/>
      </w:r>
    </w:p>
    <w:p>
      <w:pPr>
        <w:pStyle w:val="5"/>
        <w:ind w:firstLine="560"/>
        <w:jc w:val="center"/>
        <w:rPr>
          <w:rFonts w:hint="default" w:ascii="Times New Roman" w:hAnsi="Times New Roman" w:cs="Times New Roman"/>
          <w:highlight w:val="none"/>
        </w:rPr>
      </w:pPr>
      <w:r>
        <w:rPr>
          <w:rFonts w:hint="default" w:ascii="Times New Roman" w:hAnsi="Times New Roman" w:cs="Times New Roman"/>
          <w:highlight w:val="none"/>
        </w:rPr>
        <w:fldChar w:fldCharType="end"/>
      </w:r>
    </w:p>
    <w:p>
      <w:pPr>
        <w:ind w:firstLine="562"/>
        <w:rPr>
          <w:rFonts w:hint="default" w:ascii="Times New Roman" w:hAnsi="Times New Roman" w:cs="Times New Roman"/>
          <w:b/>
          <w:bCs/>
          <w:szCs w:val="28"/>
          <w:highlight w:val="none"/>
        </w:rPr>
      </w:pPr>
      <w:r>
        <w:rPr>
          <w:rFonts w:hint="default" w:ascii="Times New Roman" w:hAnsi="Times New Roman" w:cs="Times New Roman"/>
          <w:b/>
          <w:bCs/>
          <w:szCs w:val="28"/>
          <w:highlight w:val="none"/>
        </w:rPr>
        <w:t>附图1：</w:t>
      </w:r>
      <w:r>
        <w:rPr>
          <w:rFonts w:hint="default" w:ascii="Times New Roman" w:hAnsi="Times New Roman" w:cs="Times New Roman"/>
          <w:b/>
          <w:bCs/>
          <w:szCs w:val="28"/>
          <w:highlight w:val="none"/>
          <w:lang w:val="en-US" w:eastAsia="zh-CN"/>
        </w:rPr>
        <w:t>区域</w:t>
      </w:r>
      <w:r>
        <w:rPr>
          <w:rFonts w:hint="default" w:ascii="Times New Roman" w:hAnsi="Times New Roman" w:cs="Times New Roman"/>
          <w:b/>
          <w:bCs/>
          <w:szCs w:val="28"/>
          <w:highlight w:val="none"/>
        </w:rPr>
        <w:t>位置示意图</w:t>
      </w:r>
    </w:p>
    <w:p>
      <w:pPr>
        <w:ind w:firstLine="562"/>
        <w:rPr>
          <w:rFonts w:hint="default" w:ascii="Times New Roman" w:hAnsi="Times New Roman" w:cs="Times New Roman"/>
          <w:b/>
          <w:bCs/>
          <w:szCs w:val="28"/>
          <w:highlight w:val="none"/>
        </w:rPr>
      </w:pPr>
      <w:r>
        <w:rPr>
          <w:rFonts w:hint="default" w:ascii="Times New Roman" w:hAnsi="Times New Roman" w:cs="Times New Roman"/>
          <w:b/>
          <w:bCs/>
          <w:szCs w:val="28"/>
          <w:highlight w:val="none"/>
        </w:rPr>
        <w:t>附图2：</w:t>
      </w:r>
      <w:r>
        <w:rPr>
          <w:rFonts w:hint="default" w:ascii="Times New Roman" w:hAnsi="Times New Roman" w:cs="Times New Roman"/>
          <w:b/>
          <w:bCs/>
          <w:szCs w:val="28"/>
          <w:highlight w:val="none"/>
          <w:lang w:val="en-US" w:eastAsia="zh-CN"/>
        </w:rPr>
        <w:t>周边环境</w:t>
      </w:r>
      <w:r>
        <w:rPr>
          <w:rFonts w:hint="default" w:ascii="Times New Roman" w:hAnsi="Times New Roman" w:cs="Times New Roman"/>
          <w:b/>
          <w:bCs/>
          <w:szCs w:val="28"/>
          <w:highlight w:val="none"/>
        </w:rPr>
        <w:t>示意图</w:t>
      </w:r>
    </w:p>
    <w:p>
      <w:pPr>
        <w:ind w:firstLine="562"/>
        <w:rPr>
          <w:rFonts w:hint="default" w:ascii="Times New Roman" w:hAnsi="Times New Roman" w:cs="Times New Roman"/>
          <w:b/>
          <w:bCs/>
          <w:szCs w:val="28"/>
          <w:highlight w:val="none"/>
        </w:rPr>
      </w:pPr>
      <w:r>
        <w:rPr>
          <w:rFonts w:hint="default" w:ascii="Times New Roman" w:hAnsi="Times New Roman" w:cs="Times New Roman"/>
          <w:b/>
          <w:bCs/>
          <w:szCs w:val="28"/>
          <w:highlight w:val="none"/>
        </w:rPr>
        <w:t>附图</w:t>
      </w:r>
      <w:r>
        <w:rPr>
          <w:rFonts w:hint="default" w:ascii="Times New Roman" w:hAnsi="Times New Roman" w:cs="Times New Roman"/>
          <w:b/>
          <w:bCs/>
          <w:szCs w:val="28"/>
          <w:highlight w:val="none"/>
          <w:lang w:val="en-US" w:eastAsia="zh-CN"/>
        </w:rPr>
        <w:t>3</w:t>
      </w:r>
      <w:r>
        <w:rPr>
          <w:rFonts w:hint="default" w:ascii="Times New Roman" w:hAnsi="Times New Roman" w:cs="Times New Roman"/>
          <w:b/>
          <w:bCs/>
          <w:szCs w:val="28"/>
          <w:highlight w:val="none"/>
        </w:rPr>
        <w:t>：</w:t>
      </w:r>
      <w:r>
        <w:rPr>
          <w:rFonts w:hint="default" w:ascii="Times New Roman" w:hAnsi="Times New Roman" w:cs="Times New Roman"/>
          <w:b/>
          <w:bCs/>
          <w:szCs w:val="28"/>
          <w:highlight w:val="none"/>
          <w:lang w:val="en-US" w:eastAsia="zh-CN"/>
        </w:rPr>
        <w:t>平面布置</w:t>
      </w:r>
      <w:r>
        <w:rPr>
          <w:rFonts w:hint="default" w:ascii="Times New Roman" w:hAnsi="Times New Roman" w:cs="Times New Roman"/>
          <w:b/>
          <w:bCs/>
          <w:szCs w:val="28"/>
          <w:highlight w:val="none"/>
        </w:rPr>
        <w:t>示意图</w:t>
      </w:r>
    </w:p>
    <w:p>
      <w:pPr>
        <w:ind w:firstLine="562"/>
        <w:rPr>
          <w:rFonts w:hint="default" w:eastAsia="宋体"/>
          <w:lang w:val="en-US" w:eastAsia="zh-CN"/>
        </w:rPr>
      </w:pPr>
      <w:r>
        <w:rPr>
          <w:rFonts w:hint="default" w:ascii="Times New Roman" w:hAnsi="Times New Roman" w:cs="Times New Roman"/>
          <w:b/>
          <w:bCs/>
          <w:szCs w:val="28"/>
          <w:highlight w:val="none"/>
        </w:rPr>
        <w:t>附图</w:t>
      </w:r>
      <w:r>
        <w:rPr>
          <w:rFonts w:hint="eastAsia" w:ascii="Times New Roman" w:hAnsi="Times New Roman" w:cs="Times New Roman"/>
          <w:b/>
          <w:bCs/>
          <w:szCs w:val="28"/>
          <w:highlight w:val="none"/>
          <w:lang w:val="en-US" w:eastAsia="zh-CN"/>
        </w:rPr>
        <w:t>4</w:t>
      </w:r>
      <w:r>
        <w:rPr>
          <w:rFonts w:hint="default" w:ascii="Times New Roman" w:hAnsi="Times New Roman" w:cs="Times New Roman"/>
          <w:b/>
          <w:bCs/>
          <w:szCs w:val="28"/>
          <w:highlight w:val="none"/>
        </w:rPr>
        <w:t>：</w:t>
      </w:r>
      <w:r>
        <w:rPr>
          <w:rFonts w:hint="eastAsia" w:ascii="Times New Roman" w:hAnsi="Times New Roman" w:cs="Times New Roman"/>
          <w:b/>
          <w:bCs/>
          <w:szCs w:val="28"/>
          <w:highlight w:val="none"/>
          <w:lang w:val="en-US" w:eastAsia="zh-CN"/>
        </w:rPr>
        <w:t>隐患点位置示意图</w:t>
      </w:r>
    </w:p>
    <w:p>
      <w:pPr>
        <w:ind w:firstLine="562"/>
        <w:rPr>
          <w:rFonts w:hint="default" w:ascii="Times New Roman" w:hAnsi="Times New Roman" w:cs="Times New Roman"/>
          <w:b/>
          <w:bCs/>
          <w:szCs w:val="28"/>
          <w:highlight w:val="none"/>
        </w:rPr>
      </w:pPr>
      <w:r>
        <w:rPr>
          <w:rFonts w:hint="default" w:ascii="Times New Roman" w:hAnsi="Times New Roman" w:cs="Times New Roman"/>
          <w:b/>
          <w:bCs/>
          <w:szCs w:val="28"/>
          <w:highlight w:val="none"/>
        </w:rPr>
        <w:t>附</w:t>
      </w:r>
      <w:r>
        <w:rPr>
          <w:rFonts w:hint="default" w:ascii="Times New Roman" w:hAnsi="Times New Roman" w:cs="Times New Roman"/>
          <w:b/>
          <w:bCs/>
          <w:szCs w:val="28"/>
          <w:highlight w:val="none"/>
          <w:lang w:val="en-US" w:eastAsia="zh-CN"/>
        </w:rPr>
        <w:t>件1</w:t>
      </w:r>
      <w:r>
        <w:rPr>
          <w:rFonts w:hint="default" w:ascii="Times New Roman" w:hAnsi="Times New Roman" w:cs="Times New Roman"/>
          <w:b/>
          <w:bCs/>
          <w:szCs w:val="28"/>
          <w:highlight w:val="none"/>
        </w:rPr>
        <w:t>：有毒有害物质信息清单</w:t>
      </w:r>
    </w:p>
    <w:p>
      <w:pPr>
        <w:ind w:firstLine="562"/>
        <w:rPr>
          <w:rFonts w:hint="default" w:ascii="Times New Roman" w:hAnsi="Times New Roman" w:cs="Times New Roman"/>
          <w:b/>
          <w:bCs/>
          <w:szCs w:val="28"/>
          <w:highlight w:val="none"/>
          <w:lang w:val="en-US" w:eastAsia="zh-CN"/>
        </w:rPr>
      </w:pPr>
      <w:r>
        <w:rPr>
          <w:rFonts w:hint="default" w:ascii="Times New Roman" w:hAnsi="Times New Roman" w:cs="Times New Roman"/>
          <w:b/>
          <w:bCs/>
          <w:szCs w:val="28"/>
          <w:highlight w:val="none"/>
        </w:rPr>
        <w:t>附</w:t>
      </w:r>
      <w:r>
        <w:rPr>
          <w:rFonts w:hint="default" w:ascii="Times New Roman" w:hAnsi="Times New Roman" w:cs="Times New Roman"/>
          <w:b/>
          <w:bCs/>
          <w:szCs w:val="28"/>
          <w:highlight w:val="none"/>
          <w:lang w:val="en-US" w:eastAsia="zh-CN"/>
        </w:rPr>
        <w:t>件2</w:t>
      </w:r>
      <w:r>
        <w:rPr>
          <w:rFonts w:hint="default" w:ascii="Times New Roman" w:hAnsi="Times New Roman" w:cs="Times New Roman"/>
          <w:b/>
          <w:bCs/>
          <w:szCs w:val="28"/>
          <w:highlight w:val="none"/>
        </w:rPr>
        <w:t>：</w:t>
      </w:r>
      <w:r>
        <w:rPr>
          <w:rFonts w:hint="default" w:ascii="Times New Roman" w:hAnsi="Times New Roman" w:cs="Times New Roman"/>
          <w:b/>
          <w:bCs/>
          <w:szCs w:val="28"/>
          <w:highlight w:val="none"/>
          <w:lang w:val="en-US" w:eastAsia="zh-CN"/>
        </w:rPr>
        <w:t>人员访谈记录</w:t>
      </w:r>
    </w:p>
    <w:p>
      <w:pPr>
        <w:ind w:firstLine="562"/>
        <w:rPr>
          <w:rFonts w:hint="default" w:ascii="Times New Roman" w:hAnsi="Times New Roman" w:cs="Times New Roman"/>
          <w:b/>
          <w:bCs/>
          <w:szCs w:val="28"/>
          <w:highlight w:val="none"/>
        </w:rPr>
      </w:pPr>
      <w:r>
        <w:rPr>
          <w:rFonts w:hint="default" w:ascii="Times New Roman" w:hAnsi="Times New Roman" w:cs="Times New Roman"/>
          <w:b/>
          <w:bCs/>
          <w:szCs w:val="28"/>
          <w:highlight w:val="none"/>
        </w:rPr>
        <w:t>附</w:t>
      </w:r>
      <w:r>
        <w:rPr>
          <w:rFonts w:hint="default" w:ascii="Times New Roman" w:hAnsi="Times New Roman" w:cs="Times New Roman"/>
          <w:b/>
          <w:bCs/>
          <w:szCs w:val="28"/>
          <w:highlight w:val="none"/>
          <w:lang w:val="en-US" w:eastAsia="zh-CN"/>
        </w:rPr>
        <w:t>件</w:t>
      </w:r>
      <w:r>
        <w:rPr>
          <w:rFonts w:hint="eastAsia" w:ascii="Times New Roman" w:hAnsi="Times New Roman" w:cs="Times New Roman"/>
          <w:b/>
          <w:bCs/>
          <w:szCs w:val="28"/>
          <w:highlight w:val="none"/>
          <w:lang w:val="en-US" w:eastAsia="zh-CN"/>
        </w:rPr>
        <w:t>3</w:t>
      </w:r>
      <w:r>
        <w:rPr>
          <w:rFonts w:hint="default" w:ascii="Times New Roman" w:hAnsi="Times New Roman" w:cs="Times New Roman"/>
          <w:b/>
          <w:bCs/>
          <w:szCs w:val="28"/>
          <w:highlight w:val="none"/>
        </w:rPr>
        <w:t>：2016年清改备案文件</w:t>
      </w:r>
    </w:p>
    <w:p>
      <w:pPr>
        <w:pStyle w:val="2"/>
        <w:keepNext w:val="0"/>
        <w:keepLines w:val="0"/>
        <w:pageBreakBefore w:val="0"/>
        <w:widowControl/>
        <w:kinsoku/>
        <w:wordWrap/>
        <w:overflowPunct/>
        <w:topLinePunct w:val="0"/>
        <w:autoSpaceDE/>
        <w:autoSpaceDN/>
        <w:bidi w:val="0"/>
        <w:adjustRightInd w:val="0"/>
        <w:snapToGrid w:val="0"/>
        <w:spacing w:after="0"/>
        <w:ind w:left="0" w:leftChars="0" w:firstLine="562" w:firstLineChars="200"/>
        <w:textAlignment w:val="auto"/>
        <w:rPr>
          <w:rFonts w:hint="eastAsia"/>
          <w:lang w:val="en-US" w:eastAsia="zh-CN"/>
        </w:rPr>
      </w:pPr>
      <w:r>
        <w:rPr>
          <w:rFonts w:hint="default" w:ascii="Times New Roman" w:hAnsi="Times New Roman" w:cs="Times New Roman"/>
          <w:b/>
          <w:bCs/>
          <w:szCs w:val="28"/>
          <w:highlight w:val="none"/>
        </w:rPr>
        <w:t>附</w:t>
      </w:r>
      <w:r>
        <w:rPr>
          <w:rFonts w:hint="default" w:ascii="Times New Roman" w:hAnsi="Times New Roman" w:cs="Times New Roman"/>
          <w:b/>
          <w:bCs/>
          <w:szCs w:val="28"/>
          <w:highlight w:val="none"/>
          <w:lang w:val="en-US" w:eastAsia="zh-CN"/>
        </w:rPr>
        <w:t>件</w:t>
      </w:r>
      <w:r>
        <w:rPr>
          <w:rFonts w:hint="eastAsia" w:ascii="Times New Roman" w:hAnsi="Times New Roman" w:cs="Times New Roman"/>
          <w:b/>
          <w:bCs/>
          <w:szCs w:val="28"/>
          <w:highlight w:val="none"/>
          <w:lang w:val="en-US" w:eastAsia="zh-CN"/>
        </w:rPr>
        <w:t>4</w:t>
      </w:r>
      <w:r>
        <w:rPr>
          <w:rFonts w:hint="default" w:ascii="Times New Roman" w:hAnsi="Times New Roman" w:cs="Times New Roman"/>
          <w:b/>
          <w:bCs/>
          <w:szCs w:val="28"/>
          <w:highlight w:val="none"/>
        </w:rPr>
        <w:t>：安环文[2021]31号</w:t>
      </w:r>
    </w:p>
    <w:p>
      <w:pPr>
        <w:keepNext w:val="0"/>
        <w:keepLines w:val="0"/>
        <w:pageBreakBefore w:val="0"/>
        <w:widowControl/>
        <w:kinsoku/>
        <w:wordWrap/>
        <w:overflowPunct/>
        <w:topLinePunct w:val="0"/>
        <w:autoSpaceDE/>
        <w:autoSpaceDN/>
        <w:bidi w:val="0"/>
        <w:adjustRightInd w:val="0"/>
        <w:snapToGrid w:val="0"/>
        <w:ind w:firstLine="562"/>
        <w:textAlignment w:val="auto"/>
        <w:rPr>
          <w:rFonts w:hint="default" w:ascii="Times New Roman" w:hAnsi="Times New Roman" w:eastAsia="宋体" w:cs="Times New Roman"/>
          <w:b/>
          <w:bCs/>
          <w:szCs w:val="28"/>
          <w:highlight w:val="none"/>
          <w:lang w:val="en-US" w:eastAsia="zh-CN"/>
        </w:rPr>
      </w:pPr>
      <w:r>
        <w:rPr>
          <w:rFonts w:hint="default" w:ascii="Times New Roman" w:hAnsi="Times New Roman" w:cs="Times New Roman"/>
          <w:b/>
          <w:bCs/>
          <w:szCs w:val="28"/>
          <w:highlight w:val="none"/>
        </w:rPr>
        <w:t>附</w:t>
      </w:r>
      <w:r>
        <w:rPr>
          <w:rFonts w:hint="default" w:ascii="Times New Roman" w:hAnsi="Times New Roman" w:cs="Times New Roman"/>
          <w:b/>
          <w:bCs/>
          <w:szCs w:val="28"/>
          <w:highlight w:val="none"/>
          <w:lang w:val="en-US" w:eastAsia="zh-CN"/>
        </w:rPr>
        <w:t>件</w:t>
      </w:r>
      <w:r>
        <w:rPr>
          <w:rFonts w:hint="eastAsia" w:ascii="Times New Roman" w:hAnsi="Times New Roman" w:cs="Times New Roman"/>
          <w:b/>
          <w:bCs/>
          <w:szCs w:val="28"/>
          <w:highlight w:val="none"/>
          <w:lang w:val="en-US" w:eastAsia="zh-CN"/>
        </w:rPr>
        <w:t>5</w:t>
      </w:r>
      <w:r>
        <w:rPr>
          <w:rFonts w:hint="default" w:ascii="Times New Roman" w:hAnsi="Times New Roman" w:cs="Times New Roman"/>
          <w:b/>
          <w:bCs/>
          <w:szCs w:val="28"/>
          <w:highlight w:val="none"/>
        </w:rPr>
        <w:t>：</w:t>
      </w:r>
      <w:r>
        <w:rPr>
          <w:rFonts w:hint="eastAsia" w:ascii="Times New Roman" w:hAnsi="Times New Roman" w:cs="Times New Roman"/>
          <w:b/>
          <w:bCs/>
          <w:szCs w:val="28"/>
          <w:highlight w:val="none"/>
          <w:lang w:val="en-US" w:eastAsia="zh-CN"/>
        </w:rPr>
        <w:t>隐患排查台账</w:t>
      </w:r>
    </w:p>
    <w:p>
      <w:pPr>
        <w:keepNext w:val="0"/>
        <w:keepLines w:val="0"/>
        <w:pageBreakBefore w:val="0"/>
        <w:widowControl/>
        <w:kinsoku/>
        <w:wordWrap/>
        <w:overflowPunct/>
        <w:topLinePunct w:val="0"/>
        <w:autoSpaceDE/>
        <w:autoSpaceDN/>
        <w:bidi w:val="0"/>
        <w:adjustRightInd w:val="0"/>
        <w:snapToGrid w:val="0"/>
        <w:ind w:firstLine="562"/>
        <w:textAlignment w:val="auto"/>
        <w:rPr>
          <w:rFonts w:hint="default" w:ascii="Times New Roman" w:hAnsi="Times New Roman" w:eastAsia="宋体" w:cs="Times New Roman"/>
          <w:b/>
          <w:bCs/>
          <w:szCs w:val="28"/>
          <w:highlight w:val="none"/>
          <w:lang w:val="en-US" w:eastAsia="zh-CN"/>
        </w:rPr>
      </w:pPr>
      <w:r>
        <w:rPr>
          <w:rFonts w:hint="default" w:ascii="Times New Roman" w:hAnsi="Times New Roman" w:cs="Times New Roman"/>
          <w:b/>
          <w:bCs/>
          <w:szCs w:val="28"/>
          <w:highlight w:val="none"/>
        </w:rPr>
        <w:t>附</w:t>
      </w:r>
      <w:r>
        <w:rPr>
          <w:rFonts w:hint="default" w:ascii="Times New Roman" w:hAnsi="Times New Roman" w:cs="Times New Roman"/>
          <w:b/>
          <w:bCs/>
          <w:szCs w:val="28"/>
          <w:highlight w:val="none"/>
          <w:lang w:val="en-US" w:eastAsia="zh-CN"/>
        </w:rPr>
        <w:t>件</w:t>
      </w:r>
      <w:r>
        <w:rPr>
          <w:rFonts w:hint="eastAsia" w:ascii="Times New Roman" w:hAnsi="Times New Roman" w:cs="Times New Roman"/>
          <w:b/>
          <w:bCs/>
          <w:szCs w:val="28"/>
          <w:highlight w:val="none"/>
          <w:lang w:val="en-US" w:eastAsia="zh-CN"/>
        </w:rPr>
        <w:t>6</w:t>
      </w:r>
      <w:r>
        <w:rPr>
          <w:rFonts w:hint="default" w:ascii="Times New Roman" w:hAnsi="Times New Roman" w:cs="Times New Roman"/>
          <w:b/>
          <w:bCs/>
          <w:szCs w:val="28"/>
          <w:highlight w:val="none"/>
        </w:rPr>
        <w:t>：</w:t>
      </w:r>
      <w:r>
        <w:rPr>
          <w:rFonts w:hint="eastAsia" w:ascii="Times New Roman" w:hAnsi="Times New Roman" w:cs="Times New Roman"/>
          <w:b/>
          <w:bCs/>
          <w:szCs w:val="28"/>
          <w:highlight w:val="none"/>
          <w:lang w:val="en-US" w:eastAsia="zh-CN"/>
        </w:rPr>
        <w:t>隐患排查整改要求</w:t>
      </w:r>
    </w:p>
    <w:p>
      <w:pPr>
        <w:keepNext w:val="0"/>
        <w:keepLines w:val="0"/>
        <w:pageBreakBefore w:val="0"/>
        <w:widowControl/>
        <w:kinsoku/>
        <w:wordWrap/>
        <w:overflowPunct/>
        <w:topLinePunct w:val="0"/>
        <w:autoSpaceDE/>
        <w:autoSpaceDN/>
        <w:bidi w:val="0"/>
        <w:adjustRightInd w:val="0"/>
        <w:snapToGrid w:val="0"/>
        <w:ind w:firstLine="562"/>
        <w:textAlignment w:val="auto"/>
        <w:rPr>
          <w:rFonts w:hint="default" w:ascii="Times New Roman" w:hAnsi="Times New Roman" w:cs="Times New Roman"/>
          <w:sz w:val="32"/>
          <w:szCs w:val="32"/>
          <w:highlight w:val="none"/>
        </w:rPr>
      </w:pPr>
      <w:r>
        <w:rPr>
          <w:rFonts w:hint="default" w:ascii="Times New Roman" w:hAnsi="Times New Roman" w:cs="Times New Roman"/>
          <w:b/>
          <w:bCs/>
          <w:szCs w:val="28"/>
          <w:highlight w:val="none"/>
        </w:rPr>
        <w:t>附</w:t>
      </w:r>
      <w:r>
        <w:rPr>
          <w:rFonts w:hint="default" w:ascii="Times New Roman" w:hAnsi="Times New Roman" w:cs="Times New Roman"/>
          <w:b/>
          <w:bCs/>
          <w:szCs w:val="28"/>
          <w:highlight w:val="none"/>
          <w:lang w:val="en-US" w:eastAsia="zh-CN"/>
        </w:rPr>
        <w:t>件</w:t>
      </w:r>
      <w:r>
        <w:rPr>
          <w:rFonts w:hint="eastAsia" w:ascii="Times New Roman" w:hAnsi="Times New Roman" w:cs="Times New Roman"/>
          <w:b/>
          <w:bCs/>
          <w:szCs w:val="28"/>
          <w:highlight w:val="none"/>
          <w:lang w:val="en-US" w:eastAsia="zh-CN"/>
        </w:rPr>
        <w:t>7</w:t>
      </w:r>
      <w:r>
        <w:rPr>
          <w:rFonts w:hint="default" w:ascii="Times New Roman" w:hAnsi="Times New Roman" w:cs="Times New Roman"/>
          <w:b/>
          <w:bCs/>
          <w:szCs w:val="28"/>
          <w:highlight w:val="none"/>
        </w:rPr>
        <w:t>：</w:t>
      </w:r>
      <w:r>
        <w:rPr>
          <w:rFonts w:hint="eastAsia" w:ascii="Times New Roman" w:hAnsi="Times New Roman" w:cs="Times New Roman"/>
          <w:b/>
          <w:bCs/>
          <w:szCs w:val="28"/>
          <w:highlight w:val="none"/>
          <w:lang w:eastAsia="zh-CN"/>
        </w:rPr>
        <w:t>检测报告</w:t>
      </w:r>
    </w:p>
    <w:p>
      <w:pPr>
        <w:pStyle w:val="18"/>
        <w:rPr>
          <w:rFonts w:hint="default" w:ascii="Times New Roman" w:hAnsi="Times New Roman" w:cs="Times New Roman"/>
          <w:sz w:val="32"/>
          <w:szCs w:val="32"/>
          <w:highlight w:val="none"/>
        </w:rPr>
      </w:pPr>
    </w:p>
    <w:p>
      <w:pPr>
        <w:rPr>
          <w:rFonts w:hint="default" w:ascii="Times New Roman" w:hAnsi="Times New Roman" w:cs="Times New Roman"/>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before="157" w:beforeLines="50" w:after="157" w:afterLines="50"/>
        <w:jc w:val="center"/>
        <w:textAlignment w:val="auto"/>
        <w:rPr>
          <w:rFonts w:hint="default" w:ascii="Times New Roman" w:hAnsi="Times New Roman" w:cs="Times New Roman"/>
          <w:sz w:val="32"/>
          <w:szCs w:val="32"/>
          <w:highlight w:val="none"/>
        </w:rPr>
        <w:sectPr>
          <w:footerReference r:id="rId11" w:type="default"/>
          <w:type w:val="continuous"/>
          <w:pgSz w:w="11905" w:h="16838"/>
          <w:pgMar w:top="1134" w:right="1134" w:bottom="1134" w:left="1134"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p>
      <w:pPr>
        <w:pStyle w:val="5"/>
        <w:keepNext/>
        <w:keepLines/>
        <w:pageBreakBefore w:val="0"/>
        <w:widowControl/>
        <w:kinsoku/>
        <w:wordWrap/>
        <w:overflowPunct/>
        <w:topLinePunct w:val="0"/>
        <w:autoSpaceDE/>
        <w:autoSpaceDN/>
        <w:bidi w:val="0"/>
        <w:adjustRightInd w:val="0"/>
        <w:snapToGrid w:val="0"/>
        <w:spacing w:before="157" w:beforeLines="50" w:after="157" w:afterLines="50"/>
        <w:jc w:val="center"/>
        <w:textAlignment w:val="auto"/>
        <w:rPr>
          <w:rFonts w:hint="default" w:ascii="Times New Roman" w:hAnsi="Times New Roman" w:eastAsia="宋体" w:cs="Times New Roman"/>
          <w:sz w:val="32"/>
          <w:szCs w:val="32"/>
          <w:highlight w:val="none"/>
          <w:lang w:eastAsia="zh-CN"/>
        </w:rPr>
      </w:pPr>
      <w:bookmarkStart w:id="8" w:name="_Toc25407"/>
      <w:r>
        <w:rPr>
          <w:rFonts w:hint="default" w:ascii="Times New Roman" w:hAnsi="Times New Roman" w:cs="Times New Roman"/>
          <w:sz w:val="32"/>
          <w:szCs w:val="32"/>
          <w:highlight w:val="none"/>
        </w:rPr>
        <w:t>1、</w:t>
      </w:r>
      <w:r>
        <w:rPr>
          <w:rFonts w:hint="default" w:ascii="Times New Roman" w:hAnsi="Times New Roman" w:cs="Times New Roman"/>
          <w:sz w:val="32"/>
          <w:szCs w:val="32"/>
          <w:highlight w:val="none"/>
          <w:lang w:val="en-US" w:eastAsia="zh-CN"/>
        </w:rPr>
        <w:t>总论</w:t>
      </w:r>
      <w:bookmarkEnd w:id="8"/>
    </w:p>
    <w:p>
      <w:pPr>
        <w:pStyle w:val="6"/>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30"/>
          <w:szCs w:val="30"/>
          <w:highlight w:val="none"/>
          <w:lang w:eastAsia="zh-CN"/>
        </w:rPr>
      </w:pPr>
      <w:bookmarkStart w:id="9" w:name="_Toc2730"/>
      <w:bookmarkStart w:id="10" w:name="_Toc20352"/>
      <w:bookmarkStart w:id="11" w:name="_Toc32621"/>
      <w:bookmarkStart w:id="12" w:name="_Toc21005"/>
      <w:bookmarkStart w:id="13" w:name="_Toc24345"/>
      <w:r>
        <w:rPr>
          <w:rFonts w:hint="default" w:ascii="Times New Roman" w:hAnsi="Times New Roman" w:cs="Times New Roman"/>
          <w:sz w:val="30"/>
          <w:szCs w:val="30"/>
          <w:highlight w:val="none"/>
        </w:rPr>
        <w:t>1.1</w:t>
      </w:r>
      <w:bookmarkEnd w:id="9"/>
      <w:bookmarkEnd w:id="10"/>
      <w:bookmarkEnd w:id="11"/>
      <w:bookmarkEnd w:id="12"/>
      <w:r>
        <w:rPr>
          <w:rFonts w:hint="default" w:ascii="Times New Roman" w:hAnsi="Times New Roman" w:cs="Times New Roman"/>
          <w:sz w:val="30"/>
          <w:szCs w:val="30"/>
          <w:highlight w:val="none"/>
          <w:lang w:val="en-US" w:eastAsia="zh-CN"/>
        </w:rPr>
        <w:t>编制背景</w:t>
      </w:r>
      <w:bookmarkEnd w:id="13"/>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土壤污染具有隐蔽性和滞后性，若管理不善，一些有毒有害物质通过长期渗漏、流失将造成土壤和地下水污染。为贯彻落实《中华人民共和国土壤污染防治法》</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《工矿用地土壤环境管理办法（试行）》</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《重点监管单位土壤污染隐患排查指南（试行）》，</w:t>
      </w:r>
      <w:r>
        <w:rPr>
          <w:rFonts w:hint="default" w:ascii="Times New Roman" w:hAnsi="Times New Roman" w:cs="Times New Roman"/>
        </w:rPr>
        <w:t>强化工矿企业环境监管，落实土壤环境监管责任</w:t>
      </w:r>
      <w:r>
        <w:rPr>
          <w:rFonts w:hint="default" w:ascii="Times New Roman" w:hAnsi="Times New Roman" w:cs="Times New Roman"/>
          <w:sz w:val="28"/>
          <w:szCs w:val="28"/>
          <w:highlight w:val="none"/>
        </w:rPr>
        <w:t>，推进企业落实土壤污染隐患排查制度，及时发现土壤污染隐患并采取措施消除或者降低隐患</w:t>
      </w:r>
      <w:r>
        <w:rPr>
          <w:rFonts w:hint="default"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安阳市</w:t>
      </w:r>
      <w:r>
        <w:rPr>
          <w:rFonts w:hint="default" w:ascii="Times New Roman" w:hAnsi="Times New Roman" w:cs="Times New Roman"/>
          <w:color w:val="auto"/>
          <w:szCs w:val="28"/>
          <w:highlight w:val="none"/>
        </w:rPr>
        <w:t>生态环境局</w:t>
      </w:r>
      <w:r>
        <w:rPr>
          <w:rFonts w:hint="eastAsia" w:ascii="Times New Roman" w:hAnsi="Times New Roman" w:cs="Times New Roman"/>
          <w:color w:val="auto"/>
          <w:szCs w:val="28"/>
          <w:highlight w:val="none"/>
          <w:lang w:val="en-US" w:eastAsia="zh-CN"/>
        </w:rPr>
        <w:t>和安阳市自然资源和规划局文件《关于加强建设用地土壤污染状况调查联动监管的通知</w:t>
      </w:r>
      <w:r>
        <w:rPr>
          <w:rFonts w:hint="default" w:ascii="Times New Roman" w:hAnsi="Times New Roman" w:cs="Times New Roman"/>
          <w:color w:val="auto"/>
          <w:szCs w:val="28"/>
          <w:highlight w:val="none"/>
        </w:rPr>
        <w:t>》</w:t>
      </w:r>
      <w:r>
        <w:rPr>
          <w:rFonts w:hint="eastAsia" w:ascii="Times New Roman" w:hAnsi="Times New Roman" w:cs="Times New Roman"/>
          <w:color w:val="auto"/>
          <w:szCs w:val="28"/>
          <w:highlight w:val="none"/>
          <w:lang w:val="en-US" w:eastAsia="zh-CN"/>
        </w:rPr>
        <w:t>(安环文[2021]83号)</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决定组织开展土壤重点监管单位土壤污染隐患排查工作</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切实推进土壤污染防治工作，保障企业人居及周边人居环境安全，促进企业经济绿色发展和土壤资源可持续利用。</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根据</w:t>
      </w:r>
      <w:r>
        <w:rPr>
          <w:rFonts w:hint="eastAsia" w:ascii="Times New Roman" w:hAnsi="Times New Roman" w:cs="Times New Roman"/>
          <w:sz w:val="28"/>
          <w:szCs w:val="28"/>
          <w:highlight w:val="none"/>
          <w:lang w:val="en-US" w:eastAsia="zh-CN"/>
        </w:rPr>
        <w:t>安阳市</w:t>
      </w:r>
      <w:r>
        <w:rPr>
          <w:rFonts w:hint="default" w:ascii="Times New Roman" w:hAnsi="Times New Roman" w:cs="Times New Roman"/>
          <w:color w:val="auto"/>
          <w:szCs w:val="28"/>
          <w:highlight w:val="none"/>
        </w:rPr>
        <w:t>生态环境局《</w:t>
      </w:r>
      <w:r>
        <w:rPr>
          <w:rFonts w:hint="eastAsia" w:ascii="Times New Roman" w:hAnsi="Times New Roman" w:cs="Times New Roman"/>
          <w:sz w:val="28"/>
          <w:szCs w:val="28"/>
          <w:highlight w:val="none"/>
          <w:lang w:val="en-US" w:eastAsia="zh-CN"/>
        </w:rPr>
        <w:t>安阳市</w:t>
      </w:r>
      <w:r>
        <w:rPr>
          <w:rFonts w:hint="default" w:ascii="Times New Roman" w:hAnsi="Times New Roman" w:cs="Times New Roman"/>
          <w:color w:val="auto"/>
          <w:szCs w:val="28"/>
          <w:highlight w:val="none"/>
        </w:rPr>
        <w:t>生态环境局关于印发2021年安阳市土壤污染重点监管 单位名录的通知》</w:t>
      </w:r>
      <w:r>
        <w:rPr>
          <w:rFonts w:hint="eastAsia" w:ascii="Times New Roman" w:hAnsi="Times New Roman" w:cs="Times New Roman"/>
          <w:color w:val="auto"/>
          <w:szCs w:val="28"/>
          <w:highlight w:val="none"/>
          <w:lang w:eastAsia="zh-CN"/>
        </w:rPr>
        <w:t>（</w:t>
      </w:r>
      <w:r>
        <w:rPr>
          <w:rFonts w:hint="eastAsia" w:ascii="Times New Roman" w:hAnsi="Times New Roman" w:cs="Times New Roman"/>
          <w:color w:val="auto"/>
          <w:szCs w:val="28"/>
          <w:highlight w:val="none"/>
          <w:lang w:val="en-US" w:eastAsia="zh-CN"/>
        </w:rPr>
        <w:t>安环文[2021]31号</w:t>
      </w:r>
      <w:r>
        <w:rPr>
          <w:rFonts w:hint="eastAsia" w:ascii="Times New Roman" w:hAnsi="Times New Roman" w:cs="Times New Roman"/>
          <w:color w:val="auto"/>
          <w:szCs w:val="28"/>
          <w:highlight w:val="none"/>
          <w:lang w:eastAsia="zh-CN"/>
        </w:rPr>
        <w:t>）</w:t>
      </w:r>
      <w:r>
        <w:rPr>
          <w:rFonts w:hint="default" w:ascii="Times New Roman" w:hAnsi="Times New Roman" w:cs="Times New Roman"/>
          <w:sz w:val="28"/>
          <w:szCs w:val="28"/>
          <w:highlight w:val="none"/>
        </w:rPr>
        <w:t>，</w:t>
      </w:r>
      <w:r>
        <w:rPr>
          <w:rFonts w:hint="eastAsia" w:ascii="Times New Roman" w:hAnsi="Times New Roman" w:cs="Times New Roman"/>
          <w:sz w:val="28"/>
          <w:szCs w:val="28"/>
          <w:highlight w:val="none"/>
          <w:lang w:val="en-US" w:eastAsia="zh-CN"/>
        </w:rPr>
        <w:t>安阳九久化学科技有限公司</w:t>
      </w:r>
      <w:r>
        <w:rPr>
          <w:rFonts w:hint="default" w:ascii="Times New Roman" w:hAnsi="Times New Roman" w:cs="Times New Roman"/>
          <w:sz w:val="28"/>
          <w:szCs w:val="28"/>
          <w:highlight w:val="none"/>
          <w:lang w:val="en-US" w:eastAsia="zh-CN"/>
        </w:rPr>
        <w:t>属于土壤污染重点监管单位</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en-US" w:eastAsia="zh-CN"/>
        </w:rPr>
        <w:t>应开展</w:t>
      </w:r>
      <w:r>
        <w:rPr>
          <w:rFonts w:hint="default" w:ascii="Times New Roman" w:hAnsi="Times New Roman" w:cs="Times New Roman"/>
          <w:sz w:val="28"/>
          <w:szCs w:val="28"/>
          <w:highlight w:val="none"/>
        </w:rPr>
        <w:t>土壤和地下水污染隐患排查</w:t>
      </w:r>
      <w:r>
        <w:rPr>
          <w:rFonts w:hint="default" w:ascii="Times New Roman" w:hAnsi="Times New Roman" w:cs="Times New Roman"/>
          <w:sz w:val="28"/>
          <w:szCs w:val="28"/>
          <w:highlight w:val="none"/>
          <w:lang w:val="en-US" w:eastAsia="zh-CN"/>
        </w:rPr>
        <w:t>工作。我公司</w:t>
      </w:r>
      <w:r>
        <w:rPr>
          <w:rFonts w:hint="default" w:ascii="Times New Roman" w:hAnsi="Times New Roman" w:cs="Times New Roman"/>
          <w:sz w:val="28"/>
          <w:szCs w:val="28"/>
          <w:highlight w:val="none"/>
        </w:rPr>
        <w:t>对日常管理、生产</w:t>
      </w:r>
      <w:r>
        <w:rPr>
          <w:rFonts w:hint="default" w:ascii="Times New Roman" w:hAnsi="Times New Roman" w:cs="Times New Roman"/>
          <w:sz w:val="28"/>
          <w:szCs w:val="28"/>
          <w:highlight w:val="none"/>
          <w:lang w:val="en-US" w:eastAsia="zh-CN"/>
        </w:rPr>
        <w:t>以及</w:t>
      </w:r>
      <w:r>
        <w:rPr>
          <w:rFonts w:hint="default" w:ascii="Times New Roman" w:hAnsi="Times New Roman" w:cs="Times New Roman"/>
          <w:sz w:val="28"/>
          <w:szCs w:val="28"/>
          <w:highlight w:val="none"/>
        </w:rPr>
        <w:t>环境安全隐患等情况开展土壤污染隐患排查工作</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我单位技术人员进行了资料收集、现场勘查和人员访谈等工作，并按照</w:t>
      </w:r>
      <w:r>
        <w:rPr>
          <w:rFonts w:hint="default" w:ascii="Times New Roman" w:hAnsi="Times New Roman" w:cs="Times New Roman"/>
          <w:sz w:val="28"/>
          <w:szCs w:val="28"/>
          <w:highlight w:val="none"/>
        </w:rPr>
        <w:t>《重点监管单位土壤污染隐患排查指南（试行）》</w:t>
      </w:r>
      <w:r>
        <w:rPr>
          <w:rFonts w:hint="default" w:ascii="Times New Roman" w:hAnsi="Times New Roman" w:cs="Times New Roman"/>
          <w:sz w:val="28"/>
          <w:szCs w:val="28"/>
          <w:highlight w:val="none"/>
          <w:lang w:val="en-US" w:eastAsia="zh-CN"/>
        </w:rPr>
        <w:t>的相关要求，对企业开展综合性的污染隐患排查。</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4"/>
          <w:szCs w:val="24"/>
          <w:highlight w:val="none"/>
        </w:rPr>
      </w:pPr>
      <w:r>
        <w:rPr>
          <w:rFonts w:hint="default" w:ascii="Times New Roman" w:hAnsi="Times New Roman" w:eastAsia="宋体" w:cs="Times New Roman"/>
          <w:sz w:val="28"/>
          <w:szCs w:val="28"/>
          <w:highlight w:val="none"/>
          <w:lang w:val="en-US" w:eastAsia="zh-CN" w:bidi="ar-SA"/>
        </w:rPr>
        <w:t>依据相关文件，我单位开展污染隐患排查形成企业土壤污染隐患排查报告，并对排查过程中出现的污染隐患形成相应的整改方案</w:t>
      </w:r>
      <w:r>
        <w:rPr>
          <w:rFonts w:hint="default" w:ascii="Times New Roman" w:hAnsi="Times New Roman" w:cs="Times New Roman"/>
          <w:sz w:val="24"/>
          <w:szCs w:val="24"/>
          <w:highlight w:val="none"/>
        </w:rPr>
        <w:t>。</w:t>
      </w:r>
    </w:p>
    <w:p>
      <w:pPr>
        <w:pStyle w:val="6"/>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rPr>
      </w:pPr>
      <w:bookmarkStart w:id="14" w:name="_Toc7567"/>
      <w:bookmarkStart w:id="15" w:name="_Toc11416"/>
      <w:bookmarkStart w:id="16" w:name="_Toc11160"/>
      <w:bookmarkStart w:id="17" w:name="_Toc26413"/>
      <w:bookmarkStart w:id="18" w:name="_Toc24095"/>
      <w:bookmarkStart w:id="19" w:name="_Toc24985"/>
      <w:bookmarkStart w:id="20" w:name="_Toc11092"/>
      <w:r>
        <w:rPr>
          <w:rFonts w:hint="default" w:ascii="Times New Roman" w:hAnsi="Times New Roman" w:cs="Times New Roman"/>
          <w:sz w:val="30"/>
          <w:szCs w:val="30"/>
          <w:highlight w:val="none"/>
        </w:rPr>
        <w:t>1.2</w:t>
      </w:r>
      <w:bookmarkEnd w:id="14"/>
      <w:bookmarkEnd w:id="15"/>
      <w:bookmarkEnd w:id="16"/>
      <w:bookmarkEnd w:id="17"/>
      <w:r>
        <w:rPr>
          <w:rFonts w:hint="default" w:ascii="Times New Roman" w:hAnsi="Times New Roman" w:cs="Times New Roman"/>
          <w:sz w:val="30"/>
          <w:szCs w:val="30"/>
          <w:highlight w:val="none"/>
        </w:rPr>
        <w:t>排查目的和原则</w:t>
      </w:r>
      <w:bookmarkEnd w:id="18"/>
    </w:p>
    <w:p>
      <w:pPr>
        <w:bidi w:val="0"/>
        <w:rPr>
          <w:rFonts w:hint="default" w:ascii="Times New Roman" w:hAnsi="Times New Roman" w:eastAsia="宋体" w:cs="Times New Roman"/>
          <w:b/>
          <w:bCs/>
          <w:lang w:val="en-US" w:eastAsia="zh-CN"/>
        </w:rPr>
      </w:pPr>
      <w:bookmarkStart w:id="21" w:name="_Toc6144"/>
      <w:r>
        <w:rPr>
          <w:rFonts w:hint="default" w:ascii="Times New Roman" w:hAnsi="Times New Roman" w:eastAsia="宋体" w:cs="Times New Roman"/>
          <w:b/>
          <w:bCs/>
        </w:rPr>
        <w:t xml:space="preserve">1.2.1 </w:t>
      </w:r>
      <w:r>
        <w:rPr>
          <w:rFonts w:hint="default" w:ascii="Times New Roman" w:hAnsi="Times New Roman" w:eastAsia="宋体" w:cs="Times New Roman"/>
          <w:b/>
          <w:bCs/>
          <w:lang w:val="en-US" w:eastAsia="zh-CN"/>
        </w:rPr>
        <w:t>排查目的</w:t>
      </w:r>
      <w:bookmarkEnd w:id="21"/>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rPr>
        <w:t>通过资料收集、人员访谈、现场调查等手段</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识别可能造成土壤和地下水污染的污染物、设施设备和生产活动，并对其设计及运行管理进行审查和分析，确定存在土壤污染隐患的设施设备和生产活动，制定整改方案，及时采取技术、管理措施消除隐患</w:t>
      </w:r>
      <w:r>
        <w:rPr>
          <w:rFonts w:hint="default" w:ascii="Times New Roman" w:hAnsi="Times New Roman" w:cs="Times New Roman"/>
          <w:sz w:val="28"/>
          <w:szCs w:val="28"/>
          <w:highlight w:val="none"/>
          <w:lang w:eastAsia="zh-CN"/>
        </w:rPr>
        <w:t>。</w:t>
      </w:r>
    </w:p>
    <w:p>
      <w:pPr>
        <w:bidi w:val="0"/>
        <w:rPr>
          <w:rFonts w:hint="default" w:ascii="Times New Roman" w:hAnsi="Times New Roman" w:eastAsia="宋体" w:cs="Times New Roman"/>
          <w:b/>
          <w:bCs/>
          <w:lang w:val="en-US" w:eastAsia="zh-CN"/>
        </w:rPr>
      </w:pPr>
      <w:bookmarkStart w:id="22" w:name="_Toc22896"/>
      <w:r>
        <w:rPr>
          <w:rFonts w:hint="default" w:ascii="Times New Roman" w:hAnsi="Times New Roman" w:eastAsia="宋体" w:cs="Times New Roman"/>
          <w:b/>
          <w:bCs/>
        </w:rPr>
        <w:t>1.2.</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rPr>
        <w:t xml:space="preserve"> </w:t>
      </w:r>
      <w:r>
        <w:rPr>
          <w:rFonts w:hint="default" w:ascii="Times New Roman" w:hAnsi="Times New Roman" w:eastAsia="宋体" w:cs="Times New Roman"/>
          <w:b/>
          <w:bCs/>
          <w:lang w:val="en-US" w:eastAsia="zh-CN"/>
        </w:rPr>
        <w:t>排查原则</w:t>
      </w:r>
      <w:bookmarkEnd w:id="22"/>
    </w:p>
    <w:p>
      <w:pPr>
        <w:keepNext w:val="0"/>
        <w:keepLines w:val="0"/>
        <w:pageBreakBefore w:val="0"/>
        <w:widowControl/>
        <w:numPr>
          <w:ilvl w:val="0"/>
          <w:numId w:val="1"/>
        </w:numPr>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针对性原则</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针对</w:t>
      </w:r>
      <w:r>
        <w:rPr>
          <w:rFonts w:hint="default" w:ascii="Times New Roman" w:hAnsi="Times New Roman" w:cs="Times New Roman"/>
          <w:sz w:val="28"/>
          <w:szCs w:val="28"/>
          <w:highlight w:val="none"/>
          <w:lang w:val="en-US" w:eastAsia="zh-CN"/>
        </w:rPr>
        <w:t>项目</w:t>
      </w:r>
      <w:r>
        <w:rPr>
          <w:rFonts w:hint="default" w:ascii="Times New Roman" w:hAnsi="Times New Roman" w:cs="Times New Roman"/>
          <w:sz w:val="28"/>
          <w:szCs w:val="28"/>
          <w:highlight w:val="none"/>
          <w:lang w:eastAsia="zh-CN"/>
        </w:rPr>
        <w:t>特征设施设备、生产活动和可能</w:t>
      </w:r>
      <w:r>
        <w:rPr>
          <w:rFonts w:hint="default" w:ascii="Times New Roman" w:hAnsi="Times New Roman" w:cs="Times New Roman"/>
          <w:sz w:val="28"/>
          <w:szCs w:val="28"/>
          <w:highlight w:val="none"/>
          <w:lang w:val="en-US" w:eastAsia="zh-CN"/>
        </w:rPr>
        <w:t>存在的特征</w:t>
      </w:r>
      <w:r>
        <w:rPr>
          <w:rFonts w:hint="default" w:ascii="Times New Roman" w:hAnsi="Times New Roman" w:cs="Times New Roman"/>
          <w:sz w:val="28"/>
          <w:szCs w:val="28"/>
          <w:highlight w:val="none"/>
          <w:lang w:eastAsia="zh-CN"/>
        </w:rPr>
        <w:t>污染物，进行污染隐患调查，为</w:t>
      </w:r>
      <w:r>
        <w:rPr>
          <w:rFonts w:hint="default" w:ascii="Times New Roman" w:hAnsi="Times New Roman" w:cs="Times New Roman"/>
          <w:sz w:val="28"/>
          <w:szCs w:val="28"/>
          <w:highlight w:val="none"/>
          <w:lang w:val="en-US" w:eastAsia="zh-CN"/>
        </w:rPr>
        <w:t>项目</w:t>
      </w:r>
      <w:r>
        <w:rPr>
          <w:rFonts w:hint="default" w:ascii="Times New Roman" w:hAnsi="Times New Roman" w:cs="Times New Roman"/>
          <w:sz w:val="28"/>
          <w:szCs w:val="28"/>
          <w:highlight w:val="none"/>
          <w:lang w:eastAsia="zh-CN"/>
        </w:rPr>
        <w:t>的</w:t>
      </w:r>
      <w:r>
        <w:rPr>
          <w:rFonts w:hint="default" w:ascii="Times New Roman" w:hAnsi="Times New Roman" w:cs="Times New Roman"/>
          <w:sz w:val="28"/>
          <w:szCs w:val="28"/>
          <w:highlight w:val="none"/>
          <w:lang w:val="en-US" w:eastAsia="zh-CN"/>
        </w:rPr>
        <w:t>后续</w:t>
      </w:r>
      <w:r>
        <w:rPr>
          <w:rFonts w:hint="default" w:ascii="Times New Roman" w:hAnsi="Times New Roman" w:cs="Times New Roman"/>
          <w:sz w:val="28"/>
          <w:szCs w:val="28"/>
          <w:highlight w:val="none"/>
          <w:lang w:eastAsia="zh-CN"/>
        </w:rPr>
        <w:t>环境管理提供依据。</w:t>
      </w:r>
    </w:p>
    <w:p>
      <w:pPr>
        <w:keepNext w:val="0"/>
        <w:keepLines w:val="0"/>
        <w:pageBreakBefore w:val="0"/>
        <w:widowControl/>
        <w:numPr>
          <w:ilvl w:val="0"/>
          <w:numId w:val="1"/>
        </w:numPr>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规范性原则</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采用程序化和系统化的方式规范</w:t>
      </w:r>
      <w:r>
        <w:rPr>
          <w:rFonts w:hint="default" w:ascii="Times New Roman" w:hAnsi="Times New Roman" w:cs="Times New Roman"/>
          <w:sz w:val="28"/>
          <w:szCs w:val="28"/>
          <w:highlight w:val="none"/>
          <w:lang w:val="en-US" w:eastAsia="zh-CN"/>
        </w:rPr>
        <w:t>排查过程</w:t>
      </w:r>
      <w:r>
        <w:rPr>
          <w:rFonts w:hint="default" w:ascii="Times New Roman" w:hAnsi="Times New Roman" w:cs="Times New Roman"/>
          <w:sz w:val="28"/>
          <w:szCs w:val="28"/>
          <w:highlight w:val="none"/>
          <w:lang w:eastAsia="zh-CN"/>
        </w:rPr>
        <w:t>，保证</w:t>
      </w:r>
      <w:r>
        <w:rPr>
          <w:rFonts w:hint="default" w:ascii="Times New Roman" w:hAnsi="Times New Roman" w:cs="Times New Roman"/>
          <w:sz w:val="28"/>
          <w:szCs w:val="28"/>
          <w:highlight w:val="none"/>
          <w:lang w:val="en-US" w:eastAsia="zh-CN"/>
        </w:rPr>
        <w:t>排查</w:t>
      </w:r>
      <w:r>
        <w:rPr>
          <w:rFonts w:hint="default" w:ascii="Times New Roman" w:hAnsi="Times New Roman" w:cs="Times New Roman"/>
          <w:sz w:val="28"/>
          <w:szCs w:val="28"/>
          <w:highlight w:val="none"/>
          <w:lang w:eastAsia="zh-CN"/>
        </w:rPr>
        <w:t>过程的科学性和客观性。</w:t>
      </w:r>
    </w:p>
    <w:p>
      <w:pPr>
        <w:keepNext w:val="0"/>
        <w:keepLines w:val="0"/>
        <w:pageBreakBefore w:val="0"/>
        <w:widowControl/>
        <w:numPr>
          <w:ilvl w:val="0"/>
          <w:numId w:val="1"/>
        </w:numPr>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可操作性原则</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综合考虑调查方法、时间和经费等因素，结合当前科技发展和专业技术水平使调查过程切实可行。</w:t>
      </w:r>
    </w:p>
    <w:p>
      <w:pPr>
        <w:pStyle w:val="6"/>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rPr>
      </w:pPr>
      <w:bookmarkStart w:id="23" w:name="_Toc19479"/>
      <w:r>
        <w:rPr>
          <w:rFonts w:hint="default" w:ascii="Times New Roman" w:hAnsi="Times New Roman" w:cs="Times New Roman"/>
          <w:sz w:val="30"/>
          <w:szCs w:val="30"/>
          <w:highlight w:val="none"/>
        </w:rPr>
        <w:t>1.</w:t>
      </w:r>
      <w:r>
        <w:rPr>
          <w:rFonts w:hint="default" w:ascii="Times New Roman" w:hAnsi="Times New Roman" w:cs="Times New Roman"/>
          <w:sz w:val="30"/>
          <w:szCs w:val="30"/>
          <w:highlight w:val="none"/>
          <w:lang w:val="en-US" w:eastAsia="zh-CN"/>
        </w:rPr>
        <w:t>3</w:t>
      </w:r>
      <w:r>
        <w:rPr>
          <w:rFonts w:hint="default" w:ascii="Times New Roman" w:hAnsi="Times New Roman" w:cs="Times New Roman"/>
          <w:sz w:val="30"/>
          <w:szCs w:val="30"/>
          <w:highlight w:val="none"/>
        </w:rPr>
        <w:t>排查范围</w:t>
      </w:r>
      <w:bookmarkEnd w:id="23"/>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color w:val="000000" w:themeColor="text1"/>
          <w:sz w:val="28"/>
          <w:szCs w:val="28"/>
          <w:lang w:eastAsia="zh-CN"/>
          <w14:textFill>
            <w14:solidFill>
              <w14:schemeClr w14:val="tx1"/>
            </w14:solidFill>
          </w14:textFill>
        </w:rPr>
        <w:t>安阳九久化学科技有限公司</w:t>
      </w:r>
      <w:r>
        <w:rPr>
          <w:rFonts w:hint="default" w:ascii="Times New Roman" w:hAnsi="Times New Roman" w:eastAsia="宋体" w:cs="Times New Roman"/>
          <w:color w:val="000000" w:themeColor="text1"/>
          <w:sz w:val="28"/>
          <w:szCs w:val="28"/>
          <w14:textFill>
            <w14:solidFill>
              <w14:schemeClr w14:val="tx1"/>
            </w14:solidFill>
          </w14:textFill>
        </w:rPr>
        <w:t>位于安阳县煤化工产业园区（一区两园）水冶片区</w:t>
      </w:r>
      <w:r>
        <w:rPr>
          <w:rFonts w:hint="default"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spacing w:val="-4"/>
          <w:szCs w:val="21"/>
        </w:rPr>
        <w:t>在安阳化学工业集团有限责任公司污水处理终端空闲场地（建液体二氧化硫装置、焦亚硫酸钠装置、保险粉装置）建设</w:t>
      </w:r>
      <w:r>
        <w:rPr>
          <w:rFonts w:hint="default" w:ascii="Times New Roman" w:hAnsi="Times New Roman" w:eastAsia="宋体" w:cs="Times New Roman"/>
          <w:color w:val="000000" w:themeColor="text1"/>
          <w:sz w:val="28"/>
          <w:szCs w:val="28"/>
          <w14:textFill>
            <w14:solidFill>
              <w14:schemeClr w14:val="tx1"/>
            </w14:solidFill>
          </w14:textFill>
        </w:rPr>
        <w:t>。</w:t>
      </w:r>
      <w:r>
        <w:rPr>
          <w:rFonts w:hint="default" w:ascii="Times New Roman" w:hAnsi="Times New Roman" w:cs="Times New Roman"/>
          <w:spacing w:val="-4"/>
          <w:szCs w:val="21"/>
        </w:rPr>
        <w:t>安阳化学工业集团有限责任公司东邻221省道，北邻安林高速公路，东部隔221省道与宏达铁厂相邻，厂址东南部与安化生活区最近点距离为150m。</w:t>
      </w:r>
      <w:r>
        <w:rPr>
          <w:rFonts w:hint="eastAsia" w:ascii="Times New Roman" w:hAnsi="Times New Roman" w:cs="Times New Roman"/>
          <w:color w:val="000000" w:themeColor="text1"/>
          <w:sz w:val="28"/>
          <w:szCs w:val="28"/>
          <w:lang w:val="en-US" w:eastAsia="zh-CN"/>
          <w14:textFill>
            <w14:solidFill>
              <w14:schemeClr w14:val="tx1"/>
            </w14:solidFill>
          </w14:textFill>
        </w:rPr>
        <w:t>厂区</w:t>
      </w:r>
      <w:r>
        <w:rPr>
          <w:rFonts w:hint="default" w:ascii="Times New Roman" w:hAnsi="Times New Roman" w:cs="Times New Roman"/>
          <w:szCs w:val="21"/>
          <w:lang w:val="en-US" w:eastAsia="zh-CN"/>
        </w:rPr>
        <w:t>占地</w:t>
      </w:r>
      <w:r>
        <w:rPr>
          <w:rFonts w:hint="default" w:ascii="Times New Roman" w:hAnsi="Times New Roman" w:cs="Times New Roman"/>
          <w:szCs w:val="21"/>
        </w:rPr>
        <w:t>76223平方米</w:t>
      </w:r>
      <w:r>
        <w:rPr>
          <w:rFonts w:hint="eastAsia" w:ascii="Times New Roman" w:hAnsi="Times New Roman" w:cs="Times New Roman"/>
          <w:szCs w:val="21"/>
          <w:lang w:eastAsia="zh-CN"/>
        </w:rPr>
        <w:t>。</w:t>
      </w:r>
      <w:r>
        <w:rPr>
          <w:rFonts w:hint="default" w:ascii="Times New Roman" w:hAnsi="Times New Roman" w:cs="Times New Roman"/>
          <w:sz w:val="28"/>
          <w:szCs w:val="28"/>
          <w:highlight w:val="none"/>
          <w:lang w:val="en-US" w:eastAsia="zh-CN"/>
        </w:rPr>
        <w:t>具体排查范围见附图1</w:t>
      </w:r>
      <w:r>
        <w:rPr>
          <w:rFonts w:hint="eastAsia" w:ascii="Times New Roman" w:hAnsi="Times New Roman" w:cs="Times New Roman"/>
          <w:sz w:val="28"/>
          <w:szCs w:val="28"/>
          <w:highlight w:val="none"/>
          <w:lang w:val="en-US" w:eastAsia="zh-CN"/>
        </w:rPr>
        <w:t>和3</w:t>
      </w:r>
      <w:r>
        <w:rPr>
          <w:rFonts w:hint="default" w:ascii="Times New Roman" w:hAnsi="Times New Roman" w:cs="Times New Roman"/>
          <w:sz w:val="28"/>
          <w:szCs w:val="28"/>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根据</w:t>
      </w:r>
      <w:r>
        <w:rPr>
          <w:rFonts w:hint="eastAsia" w:ascii="Times New Roman" w:hAnsi="Times New Roman" w:cs="Times New Roman"/>
          <w:sz w:val="28"/>
          <w:szCs w:val="28"/>
          <w:highlight w:val="none"/>
          <w:lang w:val="en-US" w:eastAsia="zh-CN"/>
        </w:rPr>
        <w:t>安阳九久化学科技有限公司</w:t>
      </w:r>
      <w:r>
        <w:rPr>
          <w:rFonts w:hint="default" w:ascii="Times New Roman" w:hAnsi="Times New Roman" w:cs="Times New Roman"/>
          <w:sz w:val="28"/>
          <w:szCs w:val="28"/>
          <w:highlight w:val="none"/>
          <w:lang w:val="en-US" w:eastAsia="zh-CN"/>
        </w:rPr>
        <w:t>历史资料，厂内物料输主要通过</w:t>
      </w:r>
      <w:r>
        <w:rPr>
          <w:rFonts w:hint="eastAsia" w:ascii="Times New Roman" w:hAnsi="Times New Roman" w:cs="Times New Roman"/>
          <w:sz w:val="28"/>
          <w:szCs w:val="28"/>
          <w:highlight w:val="none"/>
          <w:lang w:val="en-US" w:eastAsia="zh-CN"/>
        </w:rPr>
        <w:t>地上</w:t>
      </w:r>
      <w:r>
        <w:rPr>
          <w:rFonts w:hint="default" w:ascii="Times New Roman" w:hAnsi="Times New Roman" w:cs="Times New Roman"/>
          <w:sz w:val="28"/>
          <w:szCs w:val="28"/>
          <w:highlight w:val="none"/>
          <w:lang w:val="en-US" w:eastAsia="zh-CN"/>
        </w:rPr>
        <w:t>管道输送，污水管网采取地下排水管道输送，物料储存主要为</w:t>
      </w:r>
      <w:r>
        <w:rPr>
          <w:rFonts w:hint="eastAsia" w:ascii="Times New Roman" w:hAnsi="Times New Roman" w:cs="Times New Roman"/>
          <w:sz w:val="28"/>
          <w:szCs w:val="28"/>
          <w:highlight w:val="none"/>
          <w:lang w:val="en-US" w:eastAsia="zh-CN"/>
        </w:rPr>
        <w:t>罐装原料</w:t>
      </w:r>
      <w:r>
        <w:rPr>
          <w:rFonts w:hint="default" w:ascii="Times New Roman" w:hAnsi="Times New Roman" w:cs="Times New Roman"/>
          <w:sz w:val="28"/>
          <w:szCs w:val="28"/>
          <w:highlight w:val="none"/>
          <w:lang w:val="en-US" w:eastAsia="zh-CN"/>
        </w:rPr>
        <w:t>、桶装原料、袋装原料，本次隐患排查范围为生产区、</w:t>
      </w:r>
      <w:r>
        <w:rPr>
          <w:rFonts w:hint="eastAsia" w:ascii="Times New Roman" w:hAnsi="Times New Roman" w:cs="Times New Roman"/>
          <w:sz w:val="28"/>
          <w:szCs w:val="28"/>
          <w:highlight w:val="none"/>
          <w:lang w:val="en-US" w:eastAsia="zh-CN"/>
        </w:rPr>
        <w:t>罐区</w:t>
      </w:r>
      <w:r>
        <w:rPr>
          <w:rFonts w:hint="default" w:ascii="Times New Roman" w:hAnsi="Times New Roman" w:cs="Times New Roman"/>
          <w:sz w:val="28"/>
          <w:szCs w:val="28"/>
          <w:highlight w:val="none"/>
          <w:lang w:val="en-US" w:eastAsia="zh-CN"/>
        </w:rPr>
        <w:t>、</w:t>
      </w:r>
      <w:r>
        <w:rPr>
          <w:rFonts w:hint="eastAsia" w:ascii="Times New Roman" w:hAnsi="Times New Roman" w:cs="Times New Roman"/>
          <w:sz w:val="28"/>
          <w:szCs w:val="28"/>
          <w:highlight w:val="none"/>
          <w:lang w:val="en-US" w:eastAsia="zh-CN"/>
        </w:rPr>
        <w:t>储存坑/塘</w:t>
      </w:r>
      <w:r>
        <w:rPr>
          <w:rFonts w:hint="default" w:ascii="Times New Roman" w:hAnsi="Times New Roman" w:cs="Times New Roman"/>
          <w:sz w:val="28"/>
          <w:szCs w:val="28"/>
          <w:highlight w:val="none"/>
          <w:lang w:val="en-US" w:eastAsia="zh-CN"/>
        </w:rPr>
        <w:t>、原料库房、成品库房、物料输送管道及各类泵。</w:t>
      </w:r>
    </w:p>
    <w:p>
      <w:pPr>
        <w:pStyle w:val="6"/>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rPr>
      </w:pPr>
      <w:bookmarkStart w:id="24" w:name="_Toc687"/>
      <w:r>
        <w:rPr>
          <w:rFonts w:hint="default" w:ascii="Times New Roman" w:hAnsi="Times New Roman" w:cs="Times New Roman"/>
          <w:sz w:val="30"/>
          <w:szCs w:val="30"/>
          <w:highlight w:val="none"/>
        </w:rPr>
        <w:t>1.</w:t>
      </w:r>
      <w:r>
        <w:rPr>
          <w:rFonts w:hint="default" w:ascii="Times New Roman" w:hAnsi="Times New Roman" w:cs="Times New Roman"/>
          <w:sz w:val="30"/>
          <w:szCs w:val="30"/>
          <w:highlight w:val="none"/>
          <w:lang w:val="en-US" w:eastAsia="zh-CN"/>
        </w:rPr>
        <w:t>4</w:t>
      </w:r>
      <w:r>
        <w:rPr>
          <w:rFonts w:hint="default" w:ascii="Times New Roman" w:hAnsi="Times New Roman" w:cs="Times New Roman"/>
          <w:sz w:val="30"/>
          <w:szCs w:val="30"/>
          <w:highlight w:val="none"/>
        </w:rPr>
        <w:t>编制依据</w:t>
      </w:r>
      <w:bookmarkEnd w:id="24"/>
    </w:p>
    <w:p>
      <w:pPr>
        <w:bidi w:val="0"/>
        <w:rPr>
          <w:rFonts w:hint="default" w:ascii="Times New Roman" w:hAnsi="Times New Roman" w:eastAsia="宋体" w:cs="Times New Roman"/>
          <w:b/>
          <w:bCs/>
        </w:rPr>
      </w:pPr>
      <w:bookmarkStart w:id="25" w:name="_Toc22765"/>
      <w:r>
        <w:rPr>
          <w:rFonts w:hint="default" w:ascii="Times New Roman" w:hAnsi="Times New Roman" w:eastAsia="宋体" w:cs="Times New Roman"/>
          <w:b/>
          <w:bCs/>
          <w:lang w:val="en-US" w:eastAsia="zh-CN"/>
        </w:rPr>
        <w:t>1.4.1 国家有关法律和规章制度</w:t>
      </w:r>
      <w:bookmarkEnd w:id="25"/>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 xml:space="preserve">（1）《中华人民共和国环境保护法》，2015 年 </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 xml:space="preserve">1 月 </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 xml:space="preserve">1 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（2）《中华人民共和国土壤污染防治法》，2019年</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1月</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 xml:space="preserve">1日；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 xml:space="preserve">（3）《中华人民共和国水污染防治法》，2018 年 </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 xml:space="preserve">1 月 </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 xml:space="preserve">1日；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 xml:space="preserve">（4）《中华人民共和国水法》，2016 年 10 月 </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 xml:space="preserve">1 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（5）《中华人民共和国固体废物污染环境防治法》</w:t>
      </w:r>
      <w:r>
        <w:rPr>
          <w:rFonts w:hint="eastAsia" w:ascii="Times New Roman" w:hAnsi="Times New Roman" w:cs="Times New Roman"/>
          <w:sz w:val="28"/>
          <w:szCs w:val="28"/>
          <w:highlight w:val="none"/>
          <w:lang w:val="en-US" w:eastAsia="zh-CN"/>
        </w:rPr>
        <w:t>,2020</w:t>
      </w:r>
      <w:r>
        <w:rPr>
          <w:rFonts w:hint="default" w:ascii="Times New Roman" w:hAnsi="Times New Roman" w:cs="Times New Roman"/>
          <w:sz w:val="28"/>
          <w:szCs w:val="28"/>
          <w:highlight w:val="none"/>
          <w:lang w:val="en-US" w:eastAsia="zh-CN"/>
        </w:rPr>
        <w:t>年</w:t>
      </w:r>
      <w:r>
        <w:rPr>
          <w:rFonts w:hint="eastAsia" w:ascii="Times New Roman" w:hAnsi="Times New Roman" w:cs="Times New Roman"/>
          <w:sz w:val="28"/>
          <w:szCs w:val="28"/>
          <w:highlight w:val="none"/>
          <w:lang w:val="en-US" w:eastAsia="zh-CN"/>
        </w:rPr>
        <w:t>09</w:t>
      </w:r>
      <w:r>
        <w:rPr>
          <w:rFonts w:hint="default" w:ascii="Times New Roman" w:hAnsi="Times New Roman" w:cs="Times New Roman"/>
          <w:sz w:val="28"/>
          <w:szCs w:val="28"/>
          <w:highlight w:val="none"/>
          <w:lang w:val="en-US" w:eastAsia="zh-CN"/>
        </w:rPr>
        <w:t>月</w:t>
      </w:r>
      <w:r>
        <w:rPr>
          <w:rFonts w:hint="eastAsia" w:ascii="Times New Roman" w:hAnsi="Times New Roman" w:cs="Times New Roman"/>
          <w:sz w:val="28"/>
          <w:szCs w:val="28"/>
          <w:highlight w:val="none"/>
          <w:lang w:val="en-US" w:eastAsia="zh-CN"/>
        </w:rPr>
        <w:t>01</w:t>
      </w:r>
      <w:r>
        <w:rPr>
          <w:rFonts w:hint="default" w:ascii="Times New Roman" w:hAnsi="Times New Roman" w:cs="Times New Roman"/>
          <w:sz w:val="28"/>
          <w:szCs w:val="28"/>
          <w:highlight w:val="none"/>
          <w:lang w:val="en-US" w:eastAsia="zh-CN"/>
        </w:rPr>
        <w:t xml:space="preserve">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（6）《中华人民共和国土地管理法</w:t>
      </w:r>
      <w:r>
        <w:rPr>
          <w:rFonts w:hint="eastAsia" w:ascii="Times New Roman" w:hAnsi="Times New Roman" w:cs="Times New Roman"/>
          <w:sz w:val="28"/>
          <w:szCs w:val="28"/>
          <w:highlight w:val="none"/>
          <w:lang w:val="en-US" w:eastAsia="zh-CN"/>
        </w:rPr>
        <w:t>（2019年修正）</w:t>
      </w:r>
      <w:r>
        <w:rPr>
          <w:rFonts w:hint="default" w:ascii="Times New Roman" w:hAnsi="Times New Roman" w:cs="Times New Roman"/>
          <w:sz w:val="28"/>
          <w:szCs w:val="28"/>
          <w:highlight w:val="none"/>
          <w:lang w:val="en-US" w:eastAsia="zh-CN"/>
        </w:rPr>
        <w:t>》，</w:t>
      </w:r>
      <w:r>
        <w:rPr>
          <w:rFonts w:hint="eastAsia" w:ascii="Times New Roman" w:hAnsi="Times New Roman" w:cs="Times New Roman"/>
          <w:sz w:val="28"/>
          <w:szCs w:val="28"/>
          <w:highlight w:val="none"/>
          <w:lang w:val="en-US" w:eastAsia="zh-CN"/>
        </w:rPr>
        <w:t>2019</w:t>
      </w:r>
      <w:r>
        <w:rPr>
          <w:rFonts w:hint="default" w:ascii="Times New Roman" w:hAnsi="Times New Roman" w:cs="Times New Roman"/>
          <w:sz w:val="28"/>
          <w:szCs w:val="28"/>
          <w:highlight w:val="none"/>
          <w:lang w:val="en-US" w:eastAsia="zh-CN"/>
        </w:rPr>
        <w:t xml:space="preserve">年 </w:t>
      </w:r>
      <w:r>
        <w:rPr>
          <w:rFonts w:hint="eastAsia" w:ascii="Times New Roman" w:hAnsi="Times New Roman" w:cs="Times New Roman"/>
          <w:sz w:val="28"/>
          <w:szCs w:val="28"/>
          <w:highlight w:val="none"/>
          <w:lang w:val="en-US" w:eastAsia="zh-CN"/>
        </w:rPr>
        <w:t>08</w:t>
      </w:r>
      <w:r>
        <w:rPr>
          <w:rFonts w:hint="default" w:ascii="Times New Roman" w:hAnsi="Times New Roman" w:cs="Times New Roman"/>
          <w:sz w:val="28"/>
          <w:szCs w:val="28"/>
          <w:highlight w:val="none"/>
          <w:lang w:val="en-US" w:eastAsia="zh-CN"/>
        </w:rPr>
        <w:t>月</w:t>
      </w:r>
      <w:r>
        <w:rPr>
          <w:rFonts w:hint="eastAsia" w:ascii="Times New Roman" w:hAnsi="Times New Roman" w:cs="Times New Roman"/>
          <w:sz w:val="28"/>
          <w:szCs w:val="28"/>
          <w:highlight w:val="none"/>
          <w:lang w:val="en-US" w:eastAsia="zh-CN"/>
        </w:rPr>
        <w:t>26</w:t>
      </w:r>
      <w:r>
        <w:rPr>
          <w:rFonts w:hint="default" w:ascii="Times New Roman" w:hAnsi="Times New Roman" w:cs="Times New Roman"/>
          <w:sz w:val="28"/>
          <w:szCs w:val="28"/>
          <w:highlight w:val="none"/>
          <w:lang w:val="en-US" w:eastAsia="zh-CN"/>
        </w:rPr>
        <w:t xml:space="preserve">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 xml:space="preserve">（7）《中华人民共和国水土保持法》，2010 年 12 月 25 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 xml:space="preserve">（8）《中华人民共和国环境影响评价法》，2018 年 12 月 29 日。 </w:t>
      </w:r>
    </w:p>
    <w:p>
      <w:pPr>
        <w:keepNext w:val="0"/>
        <w:keepLines w:val="0"/>
        <w:pageBreakBefore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 xml:space="preserve">（9）《土壤污染防治行动计划》（国发[2016]31 号），2016 年 5 月 28 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（10）河南省住房和城乡建设厅关于印发《河南省污染地块土壤环境管理办法（试行）》的通知</w:t>
      </w:r>
      <w:r>
        <w:rPr>
          <w:rFonts w:hint="eastAsia" w:ascii="Times New Roman" w:hAnsi="Times New Roman" w:cs="Times New Roman"/>
          <w:sz w:val="28"/>
          <w:szCs w:val="28"/>
          <w:highlight w:val="none"/>
          <w:lang w:val="en-US" w:eastAsia="zh-CN"/>
        </w:rPr>
        <w:t>，</w:t>
      </w:r>
      <w:r>
        <w:rPr>
          <w:rFonts w:hint="default" w:ascii="Times New Roman" w:hAnsi="Times New Roman" w:cs="Times New Roman"/>
          <w:sz w:val="28"/>
          <w:szCs w:val="28"/>
          <w:highlight w:val="none"/>
          <w:lang w:val="en-US" w:eastAsia="zh-CN"/>
        </w:rPr>
        <w:t>豫环文〔2018〕243号</w:t>
      </w:r>
      <w:r>
        <w:rPr>
          <w:rFonts w:hint="eastAsia" w:ascii="Times New Roman" w:hAnsi="Times New Roman" w:cs="Times New Roman"/>
          <w:sz w:val="28"/>
          <w:szCs w:val="28"/>
          <w:highlight w:val="none"/>
          <w:lang w:val="en-US" w:eastAsia="zh-CN"/>
        </w:rPr>
        <w:t>，2018年09月25日</w:t>
      </w:r>
      <w:r>
        <w:rPr>
          <w:rFonts w:hint="default" w:ascii="Times New Roman" w:hAnsi="Times New Roman" w:cs="Times New Roman"/>
          <w:sz w:val="28"/>
          <w:szCs w:val="28"/>
          <w:highlight w:val="none"/>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（11）</w:t>
      </w:r>
      <w:r>
        <w:rPr>
          <w:rFonts w:hint="default" w:ascii="Times New Roman" w:hAnsi="Times New Roman" w:cs="Times New Roman"/>
          <w:sz w:val="28"/>
          <w:szCs w:val="28"/>
          <w:highlight w:val="none"/>
        </w:rPr>
        <w:t>《工矿用地土壤环境管理办法（试行）》</w:t>
      </w:r>
      <w:r>
        <w:rPr>
          <w:rFonts w:hint="default" w:ascii="Times New Roman" w:hAnsi="Times New Roman" w:cs="Times New Roman"/>
          <w:sz w:val="28"/>
          <w:szCs w:val="28"/>
          <w:highlight w:val="none"/>
          <w:lang w:val="en-US" w:eastAsia="zh-CN"/>
        </w:rPr>
        <w:t xml:space="preserve">(环保部令第 3号)，2018年8月1日； </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（12）</w:t>
      </w:r>
      <w:r>
        <w:rPr>
          <w:rFonts w:hint="default" w:ascii="Times New Roman" w:hAnsi="Times New Roman" w:cs="Times New Roman"/>
          <w:sz w:val="28"/>
          <w:szCs w:val="28"/>
          <w:highlight w:val="none"/>
        </w:rPr>
        <w:t>《危险化学品安全管理条例》（国务院令第591号）</w:t>
      </w:r>
      <w:r>
        <w:rPr>
          <w:rFonts w:hint="eastAsia"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2013年修订本</w:t>
      </w:r>
      <w:r>
        <w:rPr>
          <w:rFonts w:hint="eastAsia"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，201</w:t>
      </w:r>
      <w:r>
        <w:rPr>
          <w:rFonts w:hint="eastAsia" w:ascii="Times New Roman" w:hAnsi="Times New Roman" w:cs="Times New Roman"/>
          <w:sz w:val="28"/>
          <w:szCs w:val="28"/>
          <w:highlight w:val="none"/>
          <w:lang w:val="en-US" w:eastAsia="zh-CN"/>
        </w:rPr>
        <w:t>3</w:t>
      </w:r>
      <w:r>
        <w:rPr>
          <w:rFonts w:hint="default" w:ascii="Times New Roman" w:hAnsi="Times New Roman" w:cs="Times New Roman"/>
          <w:sz w:val="28"/>
          <w:szCs w:val="28"/>
          <w:highlight w:val="none"/>
          <w:lang w:val="en-US" w:eastAsia="zh-CN"/>
        </w:rPr>
        <w:t>年12月</w:t>
      </w:r>
      <w:r>
        <w:rPr>
          <w:rFonts w:hint="eastAsia" w:ascii="Times New Roman" w:hAnsi="Times New Roman" w:cs="Times New Roman"/>
          <w:sz w:val="28"/>
          <w:szCs w:val="28"/>
          <w:highlight w:val="none"/>
          <w:lang w:val="en-US" w:eastAsia="zh-CN"/>
        </w:rPr>
        <w:t>7</w:t>
      </w:r>
      <w:r>
        <w:rPr>
          <w:rFonts w:hint="default" w:ascii="Times New Roman" w:hAnsi="Times New Roman" w:cs="Times New Roman"/>
          <w:sz w:val="28"/>
          <w:szCs w:val="28"/>
          <w:highlight w:val="none"/>
          <w:lang w:val="en-US" w:eastAsia="zh-CN"/>
        </w:rPr>
        <w:t>日。</w:t>
      </w:r>
    </w:p>
    <w:p>
      <w:pPr>
        <w:bidi w:val="0"/>
        <w:rPr>
          <w:rFonts w:hint="default" w:ascii="Times New Roman" w:hAnsi="Times New Roman" w:eastAsia="宋体" w:cs="Times New Roman"/>
          <w:b/>
          <w:bCs/>
          <w:lang w:val="en-US" w:eastAsia="zh-CN"/>
        </w:rPr>
      </w:pPr>
      <w:bookmarkStart w:id="26" w:name="_Toc14095"/>
      <w:r>
        <w:rPr>
          <w:rFonts w:hint="default" w:ascii="Times New Roman" w:hAnsi="Times New Roman" w:eastAsia="宋体" w:cs="Times New Roman"/>
          <w:b/>
          <w:bCs/>
          <w:lang w:val="en-US" w:eastAsia="zh-CN"/>
        </w:rPr>
        <w:t>1.4.2 地方法规、规章及规范性文件</w:t>
      </w:r>
      <w:bookmarkEnd w:id="26"/>
      <w:r>
        <w:rPr>
          <w:rFonts w:hint="default" w:ascii="Times New Roman" w:hAnsi="Times New Roman" w:eastAsia="宋体" w:cs="Times New Roman"/>
          <w:b/>
          <w:bCs/>
          <w:lang w:val="en-US" w:eastAsia="zh-CN"/>
        </w:rPr>
        <w:t xml:space="preserve"> </w:t>
      </w:r>
    </w:p>
    <w:p>
      <w:pPr>
        <w:ind w:firstLine="560"/>
        <w:rPr>
          <w:rFonts w:hint="eastAsia" w:ascii="Times New Roman" w:hAnsi="Times New Roman" w:eastAsia="宋体"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eastAsia="zh-CN"/>
        </w:rPr>
        <w:t>（</w:t>
      </w:r>
      <w:r>
        <w:rPr>
          <w:rFonts w:hint="eastAsia" w:ascii="Times New Roman" w:hAnsi="Times New Roman" w:cs="Times New Roman"/>
          <w:color w:val="auto"/>
          <w:szCs w:val="28"/>
          <w:highlight w:val="none"/>
          <w:lang w:val="en-US" w:eastAsia="zh-CN"/>
        </w:rPr>
        <w:t>1</w:t>
      </w:r>
      <w:r>
        <w:rPr>
          <w:rFonts w:hint="default" w:ascii="Times New Roman" w:hAnsi="Times New Roman" w:eastAsia="宋体" w:cs="Times New Roman"/>
          <w:color w:val="auto"/>
          <w:szCs w:val="28"/>
          <w:highlight w:val="none"/>
          <w:lang w:val="en-US" w:eastAsia="zh-CN"/>
        </w:rPr>
        <w:t>）</w:t>
      </w:r>
      <w:r>
        <w:rPr>
          <w:rFonts w:hint="default" w:ascii="Times New Roman" w:hAnsi="Times New Roman" w:cs="Times New Roman"/>
          <w:sz w:val="28"/>
          <w:szCs w:val="28"/>
          <w:highlight w:val="none"/>
        </w:rPr>
        <w:t>《河南省人民政府关于印发河南省清洁土壤行动计划的通知》（豫政[2017]13 号）</w:t>
      </w:r>
      <w:r>
        <w:rPr>
          <w:rFonts w:hint="eastAsia" w:ascii="Times New Roman" w:hAnsi="Times New Roman" w:cs="Times New Roman"/>
          <w:sz w:val="28"/>
          <w:szCs w:val="28"/>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bookmarkStart w:id="27" w:name="bookmark7"/>
      <w:r>
        <w:rPr>
          <w:rFonts w:hint="default" w:ascii="Times New Roman" w:hAnsi="Times New Roman" w:cs="Times New Roman"/>
          <w:sz w:val="28"/>
          <w:szCs w:val="28"/>
          <w:highlight w:val="none"/>
          <w:lang w:val="en-US" w:eastAsia="zh-CN"/>
        </w:rPr>
        <w:t>（2）《河南省2019年土壤污染防治攻坚战实施方案》（豫环攻坚办〔2019〕32号）；</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（3）《河南省污染防治攻坚战三年行动计划（2018-2020年）》（豫政〔2018〕30号）；</w:t>
      </w:r>
    </w:p>
    <w:p>
      <w:pPr>
        <w:ind w:firstLine="560"/>
        <w:rPr>
          <w:rFonts w:hint="default" w:ascii="Times New Roman" w:hAnsi="Times New Roman" w:eastAsia="宋体" w:cs="Times New Roman"/>
          <w:color w:val="auto"/>
          <w:szCs w:val="28"/>
          <w:highlight w:val="none"/>
          <w:lang w:val="en-US" w:eastAsia="zh-CN"/>
        </w:rPr>
      </w:pPr>
      <w:r>
        <w:rPr>
          <w:rFonts w:hint="default" w:ascii="Times New Roman" w:hAnsi="Times New Roman" w:eastAsia="宋体" w:cs="Times New Roman"/>
          <w:color w:val="auto"/>
          <w:szCs w:val="28"/>
          <w:highlight w:val="none"/>
          <w:lang w:val="en-US" w:eastAsia="zh-CN"/>
        </w:rPr>
        <w:t>（</w:t>
      </w:r>
      <w:bookmarkEnd w:id="27"/>
      <w:r>
        <w:rPr>
          <w:rFonts w:hint="eastAsia" w:ascii="Times New Roman" w:hAnsi="Times New Roman" w:cs="Times New Roman"/>
          <w:color w:val="auto"/>
          <w:szCs w:val="28"/>
          <w:highlight w:val="none"/>
          <w:lang w:val="en-US" w:eastAsia="zh-CN"/>
        </w:rPr>
        <w:t>4</w:t>
      </w:r>
      <w:r>
        <w:rPr>
          <w:rFonts w:hint="default" w:ascii="Times New Roman" w:hAnsi="Times New Roman" w:eastAsia="宋体" w:cs="Times New Roman"/>
          <w:color w:val="auto"/>
          <w:szCs w:val="28"/>
          <w:highlight w:val="none"/>
          <w:lang w:val="en-US" w:eastAsia="zh-CN"/>
        </w:rPr>
        <w:t>）《河南省环境保护厅办公室关于印发河南省土壤污染防治攻坚战专项行内任务分工的通知》（环办【2018】38号）；</w:t>
      </w:r>
    </w:p>
    <w:p>
      <w:pPr>
        <w:ind w:firstLine="560"/>
        <w:rPr>
          <w:rFonts w:hint="default" w:ascii="Times New Roman" w:hAnsi="Times New Roman" w:eastAsia="宋体" w:cs="Times New Roman"/>
          <w:color w:val="auto"/>
          <w:szCs w:val="28"/>
          <w:highlight w:val="none"/>
          <w:lang w:val="en-US" w:eastAsia="zh-CN"/>
        </w:rPr>
      </w:pPr>
      <w:bookmarkStart w:id="28" w:name="bookmark8"/>
      <w:r>
        <w:rPr>
          <w:rFonts w:hint="default" w:ascii="Times New Roman" w:hAnsi="Times New Roman" w:eastAsia="宋体" w:cs="Times New Roman"/>
          <w:color w:val="auto"/>
          <w:szCs w:val="28"/>
          <w:highlight w:val="none"/>
          <w:lang w:val="en-US" w:eastAsia="zh-CN"/>
        </w:rPr>
        <w:t>（</w:t>
      </w:r>
      <w:bookmarkEnd w:id="28"/>
      <w:r>
        <w:rPr>
          <w:rFonts w:hint="eastAsia" w:ascii="Times New Roman" w:hAnsi="Times New Roman" w:cs="Times New Roman"/>
          <w:color w:val="auto"/>
          <w:szCs w:val="28"/>
          <w:highlight w:val="none"/>
          <w:lang w:val="en-US" w:eastAsia="zh-CN"/>
        </w:rPr>
        <w:t>5</w:t>
      </w:r>
      <w:r>
        <w:rPr>
          <w:rFonts w:hint="default" w:ascii="Times New Roman" w:hAnsi="Times New Roman" w:eastAsia="宋体" w:cs="Times New Roman"/>
          <w:color w:val="auto"/>
          <w:szCs w:val="28"/>
          <w:highlight w:val="none"/>
          <w:lang w:val="en-US" w:eastAsia="zh-CN"/>
        </w:rPr>
        <w:t>）《河南省环境保护厅关于印发〈河南省土壤污染防治攻战土壤环境监测制度与能力建设工作任务分工〉的通知》（豫环文【2018】101号）；</w:t>
      </w:r>
    </w:p>
    <w:p>
      <w:pPr>
        <w:ind w:firstLine="560"/>
        <w:rPr>
          <w:rFonts w:hint="default" w:ascii="Times New Roman" w:hAnsi="Times New Roman" w:eastAsia="宋体" w:cs="Times New Roman"/>
          <w:color w:val="auto"/>
          <w:szCs w:val="28"/>
          <w:highlight w:val="none"/>
          <w:lang w:val="en-US" w:eastAsia="zh-CN"/>
        </w:rPr>
      </w:pPr>
      <w:bookmarkStart w:id="29" w:name="bookmark9"/>
      <w:r>
        <w:rPr>
          <w:rFonts w:hint="default" w:ascii="Times New Roman" w:hAnsi="Times New Roman" w:eastAsia="宋体" w:cs="Times New Roman"/>
          <w:color w:val="auto"/>
          <w:szCs w:val="28"/>
          <w:highlight w:val="none"/>
          <w:lang w:val="en-US" w:eastAsia="zh-CN"/>
        </w:rPr>
        <w:t>（</w:t>
      </w:r>
      <w:bookmarkEnd w:id="29"/>
      <w:r>
        <w:rPr>
          <w:rFonts w:hint="eastAsia" w:ascii="Times New Roman" w:hAnsi="Times New Roman" w:cs="Times New Roman"/>
          <w:color w:val="auto"/>
          <w:szCs w:val="28"/>
          <w:highlight w:val="none"/>
          <w:lang w:val="en-US" w:eastAsia="zh-CN"/>
        </w:rPr>
        <w:t>6</w:t>
      </w:r>
      <w:r>
        <w:rPr>
          <w:rFonts w:hint="default" w:ascii="Times New Roman" w:hAnsi="Times New Roman" w:eastAsia="宋体" w:cs="Times New Roman"/>
          <w:color w:val="auto"/>
          <w:szCs w:val="28"/>
          <w:highlight w:val="none"/>
          <w:lang w:val="en-US" w:eastAsia="zh-CN"/>
        </w:rPr>
        <w:t>）</w:t>
      </w:r>
      <w:r>
        <w:rPr>
          <w:rFonts w:hint="eastAsia" w:ascii="Times New Roman" w:hAnsi="Times New Roman" w:cs="Times New Roman"/>
          <w:color w:val="auto"/>
          <w:szCs w:val="28"/>
          <w:highlight w:val="none"/>
          <w:lang w:val="en-US" w:eastAsia="zh-CN"/>
        </w:rPr>
        <w:t>《</w:t>
      </w:r>
      <w:r>
        <w:rPr>
          <w:rFonts w:hint="eastAsia" w:ascii="Times New Roman" w:hAnsi="Times New Roman" w:cs="Times New Roman"/>
          <w:sz w:val="28"/>
          <w:szCs w:val="28"/>
          <w:highlight w:val="none"/>
          <w:lang w:val="en-US" w:eastAsia="zh-CN"/>
        </w:rPr>
        <w:t>安阳市</w:t>
      </w:r>
      <w:r>
        <w:rPr>
          <w:rFonts w:hint="default" w:ascii="Times New Roman" w:hAnsi="Times New Roman" w:cs="Times New Roman"/>
          <w:color w:val="auto"/>
          <w:szCs w:val="28"/>
          <w:highlight w:val="none"/>
        </w:rPr>
        <w:t>生态环境局</w:t>
      </w:r>
      <w:r>
        <w:rPr>
          <w:rFonts w:hint="eastAsia" w:ascii="Times New Roman" w:hAnsi="Times New Roman" w:cs="Times New Roman"/>
          <w:color w:val="auto"/>
          <w:szCs w:val="28"/>
          <w:highlight w:val="none"/>
          <w:lang w:val="en-US" w:eastAsia="zh-CN"/>
        </w:rPr>
        <w:t>和安阳市自然资源和规划局关于加强建设用地土壤污染状况调查联动监管的通知</w:t>
      </w:r>
      <w:r>
        <w:rPr>
          <w:rFonts w:hint="default" w:ascii="Times New Roman" w:hAnsi="Times New Roman" w:cs="Times New Roman"/>
          <w:color w:val="auto"/>
          <w:szCs w:val="28"/>
          <w:highlight w:val="none"/>
        </w:rPr>
        <w:t>》</w:t>
      </w:r>
      <w:r>
        <w:rPr>
          <w:rFonts w:hint="eastAsia" w:ascii="Times New Roman" w:hAnsi="Times New Roman" w:cs="Times New Roman"/>
          <w:color w:val="auto"/>
          <w:szCs w:val="28"/>
          <w:highlight w:val="none"/>
          <w:lang w:val="en-US" w:eastAsia="zh-CN"/>
        </w:rPr>
        <w:t>(安环文[2021]83号)</w:t>
      </w:r>
      <w:r>
        <w:rPr>
          <w:rFonts w:hint="default" w:ascii="Times New Roman" w:hAnsi="Times New Roman" w:eastAsia="宋体" w:cs="Times New Roman"/>
          <w:color w:val="auto"/>
          <w:szCs w:val="28"/>
          <w:highlight w:val="none"/>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eastAsia="宋体" w:cs="Times New Roman"/>
          <w:color w:val="auto"/>
          <w:szCs w:val="28"/>
          <w:highlight w:val="none"/>
          <w:lang w:val="en-US" w:eastAsia="zh-CN"/>
        </w:rPr>
        <w:t>（</w:t>
      </w:r>
      <w:r>
        <w:rPr>
          <w:rFonts w:hint="eastAsia" w:ascii="Times New Roman" w:hAnsi="Times New Roman" w:cs="Times New Roman"/>
          <w:color w:val="auto"/>
          <w:szCs w:val="28"/>
          <w:highlight w:val="none"/>
          <w:lang w:val="en-US" w:eastAsia="zh-CN"/>
        </w:rPr>
        <w:t>7</w:t>
      </w:r>
      <w:r>
        <w:rPr>
          <w:rFonts w:hint="default" w:ascii="Times New Roman" w:hAnsi="Times New Roman" w:eastAsia="宋体" w:cs="Times New Roman"/>
          <w:color w:val="auto"/>
          <w:szCs w:val="28"/>
          <w:highlight w:val="none"/>
          <w:lang w:val="en-US" w:eastAsia="zh-CN"/>
        </w:rPr>
        <w:t>）</w:t>
      </w:r>
      <w:r>
        <w:rPr>
          <w:rFonts w:hint="default" w:ascii="Times New Roman" w:hAnsi="Times New Roman" w:cs="Times New Roman"/>
          <w:color w:val="auto"/>
          <w:szCs w:val="28"/>
          <w:highlight w:val="none"/>
        </w:rPr>
        <w:t>《</w:t>
      </w:r>
      <w:r>
        <w:rPr>
          <w:rFonts w:hint="eastAsia" w:ascii="Times New Roman" w:hAnsi="Times New Roman" w:cs="Times New Roman"/>
          <w:sz w:val="28"/>
          <w:szCs w:val="28"/>
          <w:highlight w:val="none"/>
          <w:lang w:val="en-US" w:eastAsia="zh-CN"/>
        </w:rPr>
        <w:t>安阳市</w:t>
      </w:r>
      <w:r>
        <w:rPr>
          <w:rFonts w:hint="default" w:ascii="Times New Roman" w:hAnsi="Times New Roman" w:cs="Times New Roman"/>
          <w:color w:val="auto"/>
          <w:szCs w:val="28"/>
          <w:highlight w:val="none"/>
        </w:rPr>
        <w:t>生态环境局关于印发2021年安阳市土壤污染重点监管 单位名录的通知》</w:t>
      </w:r>
      <w:r>
        <w:rPr>
          <w:rFonts w:hint="eastAsia" w:ascii="Times New Roman" w:hAnsi="Times New Roman" w:cs="Times New Roman"/>
          <w:color w:val="auto"/>
          <w:szCs w:val="28"/>
          <w:highlight w:val="none"/>
          <w:lang w:eastAsia="zh-CN"/>
        </w:rPr>
        <w:t>（</w:t>
      </w:r>
      <w:r>
        <w:rPr>
          <w:rFonts w:hint="eastAsia" w:ascii="Times New Roman" w:hAnsi="Times New Roman" w:cs="Times New Roman"/>
          <w:color w:val="auto"/>
          <w:szCs w:val="28"/>
          <w:highlight w:val="none"/>
          <w:lang w:val="en-US" w:eastAsia="zh-CN"/>
        </w:rPr>
        <w:t>安环文[2021]31号）</w:t>
      </w:r>
      <w:r>
        <w:rPr>
          <w:rFonts w:hint="eastAsia" w:ascii="Times New Roman" w:hAnsi="Times New Roman" w:cs="Times New Roman"/>
          <w:sz w:val="28"/>
          <w:szCs w:val="28"/>
          <w:highlight w:val="none"/>
          <w:lang w:val="en-US" w:eastAsia="zh-CN"/>
        </w:rPr>
        <w:t>。</w:t>
      </w:r>
      <w:r>
        <w:rPr>
          <w:rFonts w:hint="default" w:ascii="Times New Roman" w:hAnsi="Times New Roman" w:cs="Times New Roman"/>
          <w:sz w:val="28"/>
          <w:szCs w:val="28"/>
          <w:highlight w:val="none"/>
          <w:lang w:val="en-US" w:eastAsia="zh-CN"/>
        </w:rPr>
        <w:t xml:space="preserve"> </w:t>
      </w:r>
    </w:p>
    <w:p>
      <w:pPr>
        <w:bidi w:val="0"/>
        <w:rPr>
          <w:rFonts w:hint="default" w:ascii="Times New Roman" w:hAnsi="Times New Roman" w:eastAsia="宋体" w:cs="Times New Roman"/>
          <w:b/>
          <w:bCs/>
          <w:lang w:val="en-US" w:eastAsia="zh-CN"/>
        </w:rPr>
      </w:pPr>
      <w:bookmarkStart w:id="30" w:name="_Toc19783"/>
      <w:r>
        <w:rPr>
          <w:rFonts w:hint="default" w:ascii="Times New Roman" w:hAnsi="Times New Roman" w:eastAsia="宋体" w:cs="Times New Roman"/>
          <w:b/>
          <w:bCs/>
          <w:lang w:val="en-US" w:eastAsia="zh-CN"/>
        </w:rPr>
        <w:t>1.4.3 技术规范及标准</w:t>
      </w:r>
      <w:bookmarkEnd w:id="30"/>
      <w:r>
        <w:rPr>
          <w:rFonts w:hint="default" w:ascii="Times New Roman" w:hAnsi="Times New Roman" w:eastAsia="宋体" w:cs="Times New Roman"/>
          <w:b/>
          <w:bCs/>
          <w:lang w:val="en-US" w:eastAsia="zh-CN"/>
        </w:rPr>
        <w:t xml:space="preserve"> </w:t>
      </w:r>
    </w:p>
    <w:p>
      <w:pPr>
        <w:ind w:firstLine="560"/>
        <w:rPr>
          <w:rFonts w:hint="default" w:ascii="Times New Roman" w:hAnsi="Times New Roman" w:eastAsia="宋体" w:cs="Times New Roman"/>
          <w:szCs w:val="28"/>
          <w:highlight w:val="none"/>
        </w:rPr>
      </w:pPr>
      <w:bookmarkStart w:id="31" w:name="_Toc25238_WPSOffice_Level1"/>
      <w:bookmarkStart w:id="32" w:name="_Toc28293_WPSOffice_Level1"/>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1</w:t>
      </w:r>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《建设用地土壤污染状况调查 技术导则》（HJ 25.1-2019</w:t>
      </w:r>
      <w:r>
        <w:rPr>
          <w:rFonts w:hint="default" w:ascii="Times New Roman" w:hAnsi="Times New Roman" w:eastAsia="宋体" w:cs="Times New Roman"/>
          <w:szCs w:val="28"/>
          <w:highlight w:val="none"/>
        </w:rPr>
        <w:t>）；</w:t>
      </w:r>
    </w:p>
    <w:p>
      <w:pPr>
        <w:ind w:firstLine="560"/>
        <w:rPr>
          <w:rFonts w:hint="default" w:ascii="Times New Roman" w:hAnsi="Times New Roman" w:eastAsia="宋体" w:cs="Times New Roman"/>
          <w:szCs w:val="28"/>
          <w:highlight w:val="none"/>
        </w:rPr>
      </w:pPr>
      <w:r>
        <w:rPr>
          <w:rFonts w:hint="default" w:ascii="Times New Roman" w:hAnsi="Times New Roman" w:eastAsia="宋体" w:cs="Times New Roman"/>
          <w:szCs w:val="28"/>
          <w:highlight w:val="none"/>
        </w:rPr>
        <w:t>（2）《建设用地土壤污染风险管控和修复监测技术导则》（HJ 25.2-201</w:t>
      </w:r>
      <w:r>
        <w:rPr>
          <w:rFonts w:hint="default" w:ascii="Times New Roman" w:hAnsi="Times New Roman" w:eastAsia="宋体" w:cs="Times New Roman"/>
          <w:szCs w:val="28"/>
          <w:highlight w:val="none"/>
          <w:lang w:val="en-US" w:eastAsia="zh-CN"/>
        </w:rPr>
        <w:t>9</w:t>
      </w:r>
      <w:r>
        <w:rPr>
          <w:rFonts w:hint="default" w:ascii="Times New Roman" w:hAnsi="Times New Roman" w:eastAsia="宋体" w:cs="Times New Roman"/>
          <w:szCs w:val="28"/>
          <w:highlight w:val="none"/>
        </w:rPr>
        <w:t>）；</w:t>
      </w:r>
    </w:p>
    <w:p>
      <w:pPr>
        <w:ind w:firstLine="560"/>
        <w:rPr>
          <w:rFonts w:hint="default" w:ascii="Times New Roman" w:hAnsi="Times New Roman" w:eastAsia="宋体" w:cs="Times New Roman"/>
          <w:szCs w:val="28"/>
          <w:highlight w:val="none"/>
        </w:rPr>
      </w:pPr>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3</w:t>
      </w:r>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eastAsia="zh-CN"/>
        </w:rPr>
        <w:t>《</w:t>
      </w:r>
      <w:r>
        <w:rPr>
          <w:rFonts w:hint="default" w:ascii="Times New Roman" w:hAnsi="Times New Roman" w:eastAsia="宋体" w:cs="Times New Roman"/>
          <w:szCs w:val="28"/>
          <w:highlight w:val="none"/>
        </w:rPr>
        <w:t>建设用地土壤污染风险评估技术导则</w:t>
      </w:r>
      <w:r>
        <w:rPr>
          <w:rFonts w:hint="default" w:ascii="Times New Roman" w:hAnsi="Times New Roman" w:eastAsia="宋体" w:cs="Times New Roman"/>
          <w:szCs w:val="28"/>
          <w:highlight w:val="none"/>
          <w:lang w:eastAsia="zh-CN"/>
        </w:rPr>
        <w:t>》</w:t>
      </w:r>
      <w:r>
        <w:rPr>
          <w:rFonts w:hint="default" w:ascii="Times New Roman" w:hAnsi="Times New Roman" w:eastAsia="宋体" w:cs="Times New Roman"/>
          <w:szCs w:val="28"/>
          <w:highlight w:val="none"/>
          <w:lang w:val="en-US" w:eastAsia="zh-CN"/>
        </w:rPr>
        <w:t>（HJ 25.3-2019</w:t>
      </w:r>
      <w:r>
        <w:rPr>
          <w:rFonts w:hint="default" w:ascii="Times New Roman" w:hAnsi="Times New Roman" w:eastAsia="宋体" w:cs="Times New Roman"/>
          <w:szCs w:val="28"/>
          <w:highlight w:val="none"/>
        </w:rPr>
        <w:t>）；</w:t>
      </w:r>
    </w:p>
    <w:p>
      <w:pPr>
        <w:ind w:firstLine="560"/>
        <w:rPr>
          <w:rFonts w:hint="default" w:ascii="Times New Roman" w:hAnsi="Times New Roman" w:eastAsia="宋体" w:cs="Times New Roman"/>
          <w:szCs w:val="28"/>
          <w:highlight w:val="none"/>
          <w:lang w:eastAsia="zh-CN"/>
        </w:rPr>
      </w:pPr>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4</w:t>
      </w:r>
      <w:r>
        <w:rPr>
          <w:rFonts w:hint="default" w:ascii="Times New Roman" w:hAnsi="Times New Roman" w:eastAsia="宋体" w:cs="Times New Roman"/>
          <w:szCs w:val="28"/>
          <w:highlight w:val="none"/>
        </w:rPr>
        <w:t>）《土壤环境监测技术规范》（HJ/T 166-2004）</w:t>
      </w:r>
      <w:bookmarkEnd w:id="31"/>
      <w:bookmarkEnd w:id="32"/>
      <w:r>
        <w:rPr>
          <w:rFonts w:hint="default" w:ascii="Times New Roman" w:hAnsi="Times New Roman" w:eastAsia="宋体" w:cs="Times New Roman"/>
          <w:szCs w:val="28"/>
          <w:highlight w:val="none"/>
          <w:lang w:eastAsia="zh-CN"/>
        </w:rPr>
        <w:t>；</w:t>
      </w:r>
    </w:p>
    <w:p>
      <w:pPr>
        <w:ind w:firstLine="560"/>
        <w:rPr>
          <w:rFonts w:hint="default" w:ascii="Times New Roman" w:hAnsi="Times New Roman" w:eastAsia="宋体" w:cs="Times New Roman"/>
          <w:szCs w:val="28"/>
          <w:highlight w:val="none"/>
          <w:lang w:eastAsia="zh-CN"/>
        </w:rPr>
      </w:pPr>
      <w:bookmarkStart w:id="33" w:name="_Toc29350_WPSOffice_Level1"/>
      <w:bookmarkStart w:id="34" w:name="_Toc1596_WPSOffice_Level1"/>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5</w:t>
      </w:r>
      <w:r>
        <w:rPr>
          <w:rFonts w:hint="default" w:ascii="Times New Roman" w:hAnsi="Times New Roman" w:eastAsia="宋体" w:cs="Times New Roman"/>
          <w:szCs w:val="28"/>
          <w:highlight w:val="none"/>
        </w:rPr>
        <w:t>）《地下水环境监测技术规范》（HJ</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 xml:space="preserve"> 164-20</w:t>
      </w:r>
      <w:r>
        <w:rPr>
          <w:rFonts w:hint="default" w:ascii="Times New Roman" w:hAnsi="Times New Roman" w:eastAsia="宋体" w:cs="Times New Roman"/>
          <w:szCs w:val="28"/>
          <w:highlight w:val="none"/>
          <w:lang w:val="en-US" w:eastAsia="zh-CN"/>
        </w:rPr>
        <w:t>20</w:t>
      </w:r>
      <w:r>
        <w:rPr>
          <w:rFonts w:hint="default" w:ascii="Times New Roman" w:hAnsi="Times New Roman" w:eastAsia="宋体" w:cs="Times New Roman"/>
          <w:szCs w:val="28"/>
          <w:highlight w:val="none"/>
        </w:rPr>
        <w:t>）</w:t>
      </w:r>
      <w:bookmarkEnd w:id="33"/>
      <w:bookmarkEnd w:id="34"/>
      <w:r>
        <w:rPr>
          <w:rFonts w:hint="default" w:ascii="Times New Roman" w:hAnsi="Times New Roman" w:eastAsia="宋体" w:cs="Times New Roman"/>
          <w:szCs w:val="28"/>
          <w:highlight w:val="none"/>
          <w:lang w:eastAsia="zh-CN"/>
        </w:rPr>
        <w:t>；</w:t>
      </w:r>
    </w:p>
    <w:p>
      <w:pPr>
        <w:ind w:firstLine="560"/>
        <w:rPr>
          <w:rFonts w:hint="default" w:ascii="Times New Roman" w:hAnsi="Times New Roman" w:eastAsia="宋体" w:cs="Times New Roman"/>
          <w:szCs w:val="28"/>
          <w:highlight w:val="none"/>
        </w:rPr>
      </w:pPr>
      <w:bookmarkStart w:id="35" w:name="_Toc22732_WPSOffice_Level1"/>
      <w:bookmarkStart w:id="36" w:name="_Toc18722_WPSOffice_Level1"/>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6</w:t>
      </w:r>
      <w:r>
        <w:rPr>
          <w:rFonts w:hint="default" w:ascii="Times New Roman" w:hAnsi="Times New Roman" w:eastAsia="宋体" w:cs="Times New Roman"/>
          <w:szCs w:val="28"/>
          <w:highlight w:val="none"/>
        </w:rPr>
        <w:t>）</w:t>
      </w:r>
      <w:bookmarkEnd w:id="35"/>
      <w:bookmarkEnd w:id="36"/>
      <w:r>
        <w:rPr>
          <w:rFonts w:hint="default" w:ascii="Times New Roman" w:hAnsi="Times New Roman" w:eastAsia="宋体" w:cs="Times New Roman"/>
          <w:szCs w:val="28"/>
          <w:highlight w:val="none"/>
          <w:lang w:eastAsia="zh-CN"/>
        </w:rPr>
        <w:t>《</w:t>
      </w:r>
      <w:r>
        <w:rPr>
          <w:rFonts w:hint="default" w:ascii="Times New Roman" w:hAnsi="Times New Roman" w:eastAsia="宋体" w:cs="Times New Roman"/>
          <w:szCs w:val="28"/>
          <w:highlight w:val="none"/>
          <w:lang w:val="en-US" w:eastAsia="zh-CN"/>
        </w:rPr>
        <w:t>在产企业土壤及地下水自行监测技术指南（征求意见稿）》；</w:t>
      </w:r>
    </w:p>
    <w:p>
      <w:pPr>
        <w:ind w:firstLine="560"/>
        <w:rPr>
          <w:rFonts w:hint="default" w:ascii="Times New Roman" w:hAnsi="Times New Roman" w:eastAsia="宋体" w:cs="Times New Roman"/>
          <w:szCs w:val="28"/>
          <w:highlight w:val="none"/>
          <w:lang w:eastAsia="zh-CN"/>
        </w:rPr>
      </w:pPr>
      <w:bookmarkStart w:id="37" w:name="_Toc17346_WPSOffice_Level1"/>
      <w:bookmarkStart w:id="38" w:name="_Toc2504_WPSOffice_Level1"/>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7</w:t>
      </w:r>
      <w:r>
        <w:rPr>
          <w:rFonts w:hint="default" w:ascii="Times New Roman" w:hAnsi="Times New Roman" w:eastAsia="宋体" w:cs="Times New Roman"/>
          <w:szCs w:val="28"/>
          <w:highlight w:val="none"/>
        </w:rPr>
        <w:t>）《地下水质量标准》（GB/T</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14848-2017）</w:t>
      </w:r>
      <w:bookmarkEnd w:id="37"/>
      <w:bookmarkEnd w:id="38"/>
      <w:r>
        <w:rPr>
          <w:rFonts w:hint="default" w:ascii="Times New Roman" w:hAnsi="Times New Roman" w:eastAsia="宋体" w:cs="Times New Roman"/>
          <w:szCs w:val="28"/>
          <w:highlight w:val="none"/>
          <w:lang w:eastAsia="zh-CN"/>
        </w:rPr>
        <w:t>；</w:t>
      </w:r>
    </w:p>
    <w:p>
      <w:pPr>
        <w:ind w:firstLine="560"/>
        <w:rPr>
          <w:rFonts w:hint="default" w:ascii="Times New Roman" w:hAnsi="Times New Roman" w:eastAsia="宋体" w:cs="Times New Roman"/>
          <w:szCs w:val="28"/>
          <w:highlight w:val="none"/>
          <w:lang w:eastAsia="zh-CN"/>
        </w:rPr>
      </w:pPr>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8</w:t>
      </w:r>
      <w:r>
        <w:rPr>
          <w:rFonts w:hint="default" w:ascii="Times New Roman" w:hAnsi="Times New Roman" w:eastAsia="宋体" w:cs="Times New Roman"/>
          <w:szCs w:val="28"/>
          <w:highlight w:val="none"/>
        </w:rPr>
        <w:t>）《土壤环境质量 建设用地土壤污染风险管控标准（试行）》（GB36600-2018）</w:t>
      </w:r>
      <w:r>
        <w:rPr>
          <w:rFonts w:hint="default" w:ascii="Times New Roman" w:hAnsi="Times New Roman" w:eastAsia="宋体" w:cs="Times New Roman"/>
          <w:szCs w:val="28"/>
          <w:highlight w:val="none"/>
          <w:lang w:eastAsia="zh-CN"/>
        </w:rPr>
        <w:t>；</w:t>
      </w:r>
    </w:p>
    <w:p>
      <w:pPr>
        <w:ind w:firstLine="560"/>
        <w:rPr>
          <w:rFonts w:hint="default" w:ascii="Times New Roman" w:hAnsi="Times New Roman" w:eastAsia="宋体" w:cs="Times New Roman"/>
          <w:szCs w:val="28"/>
          <w:highlight w:val="none"/>
          <w:lang w:eastAsia="zh-CN"/>
        </w:rPr>
      </w:pPr>
      <w:r>
        <w:rPr>
          <w:rFonts w:hint="default" w:ascii="Times New Roman" w:hAnsi="Times New Roman" w:eastAsia="宋体" w:cs="Times New Roman"/>
          <w:szCs w:val="28"/>
          <w:highlight w:val="none"/>
        </w:rPr>
        <w:t>（</w:t>
      </w:r>
      <w:r>
        <w:rPr>
          <w:rFonts w:hint="default" w:ascii="Times New Roman" w:hAnsi="Times New Roman" w:eastAsia="宋体" w:cs="Times New Roman"/>
          <w:szCs w:val="28"/>
          <w:highlight w:val="none"/>
          <w:lang w:val="en-US" w:eastAsia="zh-CN"/>
        </w:rPr>
        <w:t>9</w:t>
      </w:r>
      <w:r>
        <w:rPr>
          <w:rFonts w:hint="default" w:ascii="Times New Roman" w:hAnsi="Times New Roman" w:eastAsia="宋体" w:cs="Times New Roman"/>
          <w:szCs w:val="28"/>
          <w:highlight w:val="none"/>
        </w:rPr>
        <w:t>）</w:t>
      </w:r>
      <w:r>
        <w:rPr>
          <w:rFonts w:hint="default" w:ascii="Times New Roman" w:hAnsi="Times New Roman" w:cs="Times New Roman"/>
          <w:sz w:val="28"/>
          <w:szCs w:val="28"/>
          <w:highlight w:val="none"/>
        </w:rPr>
        <w:t>《重点监管单位土壤污染隐患排查指南（试行）》</w:t>
      </w:r>
      <w:r>
        <w:rPr>
          <w:rFonts w:hint="default" w:ascii="Times New Roman" w:hAnsi="Times New Roman" w:eastAsia="宋体" w:cs="Times New Roman"/>
          <w:szCs w:val="28"/>
          <w:highlight w:val="none"/>
          <w:lang w:eastAsia="zh-CN"/>
        </w:rPr>
        <w:t>。</w:t>
      </w:r>
    </w:p>
    <w:bookmarkEnd w:id="19"/>
    <w:bookmarkEnd w:id="20"/>
    <w:p>
      <w:pPr>
        <w:bidi w:val="0"/>
        <w:rPr>
          <w:rFonts w:hint="default" w:ascii="Times New Roman" w:hAnsi="Times New Roman" w:eastAsia="宋体" w:cs="Times New Roman"/>
          <w:b/>
          <w:bCs/>
          <w:lang w:val="en-US" w:eastAsia="zh-CN"/>
        </w:rPr>
      </w:pPr>
      <w:bookmarkStart w:id="39" w:name="_Toc16180"/>
      <w:bookmarkStart w:id="40" w:name="_Toc32625"/>
      <w:bookmarkStart w:id="41" w:name="_Toc25351"/>
      <w:r>
        <w:rPr>
          <w:rFonts w:hint="default" w:ascii="Times New Roman" w:hAnsi="Times New Roman" w:eastAsia="宋体" w:cs="Times New Roman"/>
          <w:b/>
          <w:bCs/>
          <w:lang w:val="en-US" w:eastAsia="zh-CN"/>
        </w:rPr>
        <w:t>1.4.4 其他资料</w:t>
      </w:r>
      <w:bookmarkEnd w:id="39"/>
      <w:bookmarkEnd w:id="40"/>
      <w:bookmarkEnd w:id="41"/>
    </w:p>
    <w:p>
      <w:pPr>
        <w:keepNext w:val="0"/>
        <w:keepLines w:val="0"/>
        <w:pageBreakBefore w:val="0"/>
        <w:widowControl/>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1</w:t>
      </w:r>
      <w:r>
        <w:rPr>
          <w:rFonts w:hint="default"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安阳九久化学科技有限公司</w:t>
      </w:r>
      <w:r>
        <w:rPr>
          <w:rFonts w:hint="eastAsia" w:ascii="Times New Roman" w:hAnsi="Times New Roman" w:cs="Times New Roman"/>
          <w:sz w:val="28"/>
          <w:szCs w:val="28"/>
          <w:highlight w:val="none"/>
          <w:lang w:eastAsia="zh-CN"/>
        </w:rPr>
        <w:t>年产10万吨保险粉项目</w:t>
      </w:r>
      <w:r>
        <w:rPr>
          <w:rFonts w:hint="default" w:ascii="Times New Roman" w:hAnsi="Times New Roman" w:cs="Times New Roman"/>
          <w:sz w:val="28"/>
          <w:szCs w:val="28"/>
          <w:highlight w:val="none"/>
          <w:lang w:eastAsia="zh-CN"/>
        </w:rPr>
        <w:t>环境影响报告书》</w:t>
      </w:r>
      <w:r>
        <w:rPr>
          <w:rFonts w:hint="eastAsia"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河南省化工研究所有限责任公司</w:t>
      </w:r>
      <w:r>
        <w:rPr>
          <w:rFonts w:hint="default" w:ascii="Times New Roman" w:hAnsi="Times New Roman" w:cs="Times New Roman"/>
          <w:sz w:val="28"/>
          <w:szCs w:val="28"/>
          <w:highlight w:val="none"/>
          <w:lang w:eastAsia="zh-CN"/>
        </w:rPr>
        <w:t>，20</w:t>
      </w:r>
      <w:r>
        <w:rPr>
          <w:rFonts w:hint="eastAsia" w:ascii="Times New Roman" w:hAnsi="Times New Roman" w:cs="Times New Roman"/>
          <w:sz w:val="28"/>
          <w:szCs w:val="28"/>
          <w:highlight w:val="none"/>
          <w:lang w:val="en-US" w:eastAsia="zh-CN"/>
        </w:rPr>
        <w:t>16</w:t>
      </w:r>
      <w:r>
        <w:rPr>
          <w:rFonts w:hint="default" w:ascii="Times New Roman" w:hAnsi="Times New Roman" w:cs="Times New Roman"/>
          <w:sz w:val="28"/>
          <w:szCs w:val="28"/>
          <w:highlight w:val="none"/>
          <w:lang w:eastAsia="zh-CN"/>
        </w:rPr>
        <w:t>年</w:t>
      </w:r>
      <w:r>
        <w:rPr>
          <w:rFonts w:hint="default" w:ascii="Times New Roman" w:hAnsi="Times New Roman" w:cs="Times New Roman"/>
          <w:sz w:val="28"/>
          <w:szCs w:val="28"/>
          <w:highlight w:val="none"/>
          <w:lang w:val="en-US" w:eastAsia="zh-CN"/>
        </w:rPr>
        <w:t>0</w:t>
      </w:r>
      <w:r>
        <w:rPr>
          <w:rFonts w:hint="eastAsia" w:ascii="Times New Roman" w:hAnsi="Times New Roman" w:cs="Times New Roman"/>
          <w:sz w:val="28"/>
          <w:szCs w:val="28"/>
          <w:highlight w:val="none"/>
          <w:lang w:val="en-US" w:eastAsia="zh-CN"/>
        </w:rPr>
        <w:t>9</w:t>
      </w:r>
      <w:r>
        <w:rPr>
          <w:rFonts w:hint="default" w:ascii="Times New Roman" w:hAnsi="Times New Roman" w:cs="Times New Roman"/>
          <w:sz w:val="28"/>
          <w:szCs w:val="28"/>
          <w:highlight w:val="none"/>
          <w:lang w:eastAsia="zh-CN"/>
        </w:rPr>
        <w:t>月；</w:t>
      </w:r>
    </w:p>
    <w:p>
      <w:pPr>
        <w:keepNext w:val="0"/>
        <w:keepLines w:val="0"/>
        <w:pageBreakBefore w:val="0"/>
        <w:widowControl/>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2</w:t>
      </w:r>
      <w:r>
        <w:rPr>
          <w:rFonts w:hint="default"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安阳市环境保护局关于环保违法违规建设项目备案的通告》安阳市环境保护局文件</w:t>
      </w:r>
      <w:r>
        <w:rPr>
          <w:rFonts w:hint="eastAsia"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安环文[2016]267号，2016年12月15日</w:t>
      </w:r>
      <w:r>
        <w:rPr>
          <w:rFonts w:hint="default" w:ascii="Times New Roman" w:hAnsi="Times New Roman" w:cs="Times New Roman"/>
          <w:color w:val="auto"/>
          <w:sz w:val="28"/>
          <w:szCs w:val="28"/>
          <w:highlight w:val="none"/>
          <w:shd w:val="clear"/>
          <w:lang w:eastAsia="zh-CN"/>
        </w:rPr>
        <w:t>；</w:t>
      </w:r>
    </w:p>
    <w:p>
      <w:pPr>
        <w:keepNext w:val="0"/>
        <w:keepLines w:val="0"/>
        <w:pageBreakBefore w:val="0"/>
        <w:widowControl/>
        <w:kinsoku/>
        <w:wordWrap/>
        <w:overflowPunct/>
        <w:topLinePunct w:val="0"/>
        <w:autoSpaceDE/>
        <w:autoSpaceDN/>
        <w:bidi w:val="0"/>
        <w:adjustRightInd w:val="0"/>
        <w:snapToGrid w:val="0"/>
        <w:ind w:left="0" w:leftChars="0" w:firstLine="560" w:firstLineChars="200"/>
        <w:textAlignment w:val="auto"/>
        <w:rPr>
          <w:rFonts w:hint="default"/>
          <w:lang w:eastAsia="zh-CN"/>
        </w:rPr>
      </w:pPr>
      <w:r>
        <w:rPr>
          <w:rFonts w:hint="default"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3</w:t>
      </w:r>
      <w:r>
        <w:rPr>
          <w:rFonts w:hint="default" w:ascii="Times New Roman" w:hAnsi="Times New Roman" w:cs="Times New Roman"/>
          <w:sz w:val="28"/>
          <w:szCs w:val="28"/>
          <w:highlight w:val="none"/>
          <w:lang w:eastAsia="zh-CN"/>
        </w:rPr>
        <w:t>）《安阳九久化学科技有限公司突发环境事故应急预案》</w:t>
      </w:r>
      <w:r>
        <w:rPr>
          <w:rFonts w:hint="eastAsia" w:ascii="Times New Roman" w:hAnsi="Times New Roman" w:cs="Times New Roman"/>
          <w:sz w:val="28"/>
          <w:szCs w:val="28"/>
          <w:highlight w:val="none"/>
          <w:lang w:eastAsia="zh-CN"/>
        </w:rPr>
        <w:t>（预案编号：HNEC/JJKJ-03）</w:t>
      </w:r>
      <w:r>
        <w:rPr>
          <w:rFonts w:hint="default" w:ascii="Times New Roman" w:hAnsi="Times New Roman" w:cs="Times New Roman"/>
          <w:sz w:val="28"/>
          <w:szCs w:val="28"/>
          <w:highlight w:val="none"/>
          <w:lang w:eastAsia="zh-CN"/>
        </w:rPr>
        <w:t>，2016</w:t>
      </w:r>
      <w:r>
        <w:rPr>
          <w:rFonts w:hint="eastAsia" w:ascii="Times New Roman" w:hAnsi="Times New Roman" w:cs="Times New Roman"/>
          <w:sz w:val="28"/>
          <w:szCs w:val="28"/>
          <w:highlight w:val="none"/>
          <w:lang w:val="en-US" w:eastAsia="zh-CN"/>
        </w:rPr>
        <w:t>年</w:t>
      </w:r>
      <w:r>
        <w:rPr>
          <w:rFonts w:hint="default" w:ascii="Times New Roman" w:hAnsi="Times New Roman" w:cs="Times New Roman"/>
          <w:sz w:val="28"/>
          <w:szCs w:val="28"/>
          <w:highlight w:val="none"/>
          <w:lang w:eastAsia="zh-CN"/>
        </w:rPr>
        <w:t>9</w:t>
      </w:r>
      <w:r>
        <w:rPr>
          <w:rFonts w:hint="eastAsia" w:ascii="Times New Roman" w:hAnsi="Times New Roman" w:cs="Times New Roman"/>
          <w:sz w:val="28"/>
          <w:szCs w:val="28"/>
          <w:highlight w:val="none"/>
          <w:lang w:val="en-US" w:eastAsia="zh-CN"/>
        </w:rPr>
        <w:t>月</w:t>
      </w:r>
      <w:r>
        <w:rPr>
          <w:rFonts w:hint="default" w:ascii="Times New Roman" w:hAnsi="Times New Roman" w:cs="Times New Roman"/>
          <w:sz w:val="28"/>
          <w:szCs w:val="28"/>
          <w:highlight w:val="none"/>
          <w:lang w:eastAsia="zh-CN"/>
        </w:rPr>
        <w:t>20</w:t>
      </w:r>
      <w:r>
        <w:rPr>
          <w:rFonts w:hint="eastAsia" w:ascii="Times New Roman" w:hAnsi="Times New Roman" w:cs="Times New Roman"/>
          <w:sz w:val="28"/>
          <w:szCs w:val="28"/>
          <w:highlight w:val="none"/>
          <w:lang w:val="en-US" w:eastAsia="zh-CN"/>
        </w:rPr>
        <w:t>日</w:t>
      </w:r>
      <w:r>
        <w:rPr>
          <w:rFonts w:hint="default" w:ascii="Times New Roman" w:hAnsi="Times New Roman" w:cs="Times New Roman"/>
          <w:sz w:val="28"/>
          <w:szCs w:val="28"/>
          <w:highlight w:val="none"/>
          <w:lang w:eastAsia="zh-CN"/>
        </w:rPr>
        <w:t>实施；</w:t>
      </w:r>
    </w:p>
    <w:p>
      <w:pPr>
        <w:pStyle w:val="18"/>
        <w:keepNext w:val="0"/>
        <w:keepLines w:val="0"/>
        <w:pageBreakBefore w:val="0"/>
        <w:widowControl/>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4</w:t>
      </w:r>
      <w:r>
        <w:rPr>
          <w:rFonts w:hint="default"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eastAsia="zh-CN"/>
        </w:rPr>
        <w:t>安阳九久化学科技有限公司</w:t>
      </w:r>
      <w:r>
        <w:rPr>
          <w:rFonts w:hint="default" w:ascii="Times New Roman" w:hAnsi="Times New Roman" w:cs="Times New Roman"/>
          <w:sz w:val="28"/>
          <w:szCs w:val="28"/>
          <w:highlight w:val="none"/>
          <w:lang w:val="en-US" w:eastAsia="zh-CN"/>
        </w:rPr>
        <w:t>排污许可证（证书编号：91410500067570737P001V）</w:t>
      </w:r>
      <w:r>
        <w:rPr>
          <w:rFonts w:hint="eastAsia" w:ascii="Times New Roman" w:hAnsi="Times New Roman" w:cs="Times New Roman"/>
          <w:sz w:val="28"/>
          <w:szCs w:val="28"/>
          <w:highlight w:val="none"/>
          <w:lang w:val="en-US" w:eastAsia="zh-CN"/>
        </w:rPr>
        <w:t>，2020年08月18日。</w:t>
      </w:r>
      <w:r>
        <w:rPr>
          <w:rFonts w:hint="default" w:ascii="Times New Roman" w:hAnsi="Times New Roman" w:cs="Times New Roman"/>
          <w:sz w:val="28"/>
          <w:szCs w:val="28"/>
          <w:highlight w:val="none"/>
          <w:lang w:eastAsia="zh-CN"/>
        </w:rPr>
        <w:br w:type="page"/>
      </w:r>
    </w:p>
    <w:p>
      <w:pPr>
        <w:pStyle w:val="5"/>
        <w:keepNext/>
        <w:keepLines/>
        <w:pageBreakBefore w:val="0"/>
        <w:widowControl/>
        <w:kinsoku/>
        <w:wordWrap/>
        <w:overflowPunct/>
        <w:topLinePunct w:val="0"/>
        <w:autoSpaceDE/>
        <w:autoSpaceDN/>
        <w:bidi w:val="0"/>
        <w:adjustRightInd w:val="0"/>
        <w:snapToGrid w:val="0"/>
        <w:spacing w:before="157" w:beforeLines="50" w:after="157" w:afterLines="50" w:line="360" w:lineRule="auto"/>
        <w:jc w:val="center"/>
        <w:textAlignment w:val="auto"/>
        <w:rPr>
          <w:rFonts w:hint="default" w:ascii="Times New Roman" w:hAnsi="Times New Roman" w:eastAsia="宋体" w:cs="Times New Roman"/>
          <w:sz w:val="32"/>
          <w:szCs w:val="32"/>
          <w:highlight w:val="none"/>
          <w:lang w:eastAsia="zh-CN"/>
        </w:rPr>
      </w:pPr>
      <w:bookmarkStart w:id="42" w:name="_Toc14434"/>
      <w:r>
        <w:rPr>
          <w:rFonts w:hint="default" w:ascii="Times New Roman" w:hAnsi="Times New Roman" w:cs="Times New Roman"/>
          <w:sz w:val="32"/>
          <w:szCs w:val="32"/>
          <w:highlight w:val="none"/>
        </w:rPr>
        <w:t>2、</w:t>
      </w:r>
      <w:r>
        <w:rPr>
          <w:rFonts w:hint="default" w:ascii="Times New Roman" w:hAnsi="Times New Roman" w:cs="Times New Roman"/>
          <w:sz w:val="32"/>
          <w:szCs w:val="32"/>
          <w:highlight w:val="none"/>
          <w:lang w:val="en-US" w:eastAsia="zh-CN"/>
        </w:rPr>
        <w:t>企业概况</w:t>
      </w:r>
      <w:bookmarkEnd w:id="42"/>
    </w:p>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30"/>
          <w:szCs w:val="30"/>
          <w:highlight w:val="none"/>
          <w:lang w:eastAsia="zh-CN"/>
        </w:rPr>
      </w:pPr>
      <w:bookmarkStart w:id="43" w:name="_Toc27576"/>
      <w:bookmarkStart w:id="44" w:name="_Toc7500_WPSOffice_Level2"/>
      <w:bookmarkStart w:id="45" w:name="_Toc20458_WPSOffice_Level2"/>
      <w:bookmarkStart w:id="46" w:name="_Toc25507"/>
      <w:bookmarkStart w:id="47" w:name="_Toc23016"/>
      <w:r>
        <w:rPr>
          <w:rFonts w:hint="default" w:ascii="Times New Roman" w:hAnsi="Times New Roman" w:cs="Times New Roman"/>
          <w:sz w:val="30"/>
          <w:szCs w:val="30"/>
          <w:highlight w:val="none"/>
        </w:rPr>
        <w:t>2.1</w:t>
      </w:r>
      <w:bookmarkEnd w:id="43"/>
      <w:bookmarkEnd w:id="44"/>
      <w:bookmarkEnd w:id="45"/>
      <w:bookmarkEnd w:id="46"/>
      <w:r>
        <w:rPr>
          <w:rFonts w:hint="default" w:ascii="Times New Roman" w:hAnsi="Times New Roman" w:cs="Times New Roman"/>
          <w:sz w:val="30"/>
          <w:szCs w:val="30"/>
          <w:highlight w:val="none"/>
          <w:lang w:val="en-US" w:eastAsia="zh-CN"/>
        </w:rPr>
        <w:t>企业基本信息</w:t>
      </w:r>
      <w:bookmarkEnd w:id="47"/>
    </w:p>
    <w:p>
      <w:pPr>
        <w:spacing w:line="360" w:lineRule="auto"/>
        <w:ind w:firstLine="560" w:firstLineChars="200"/>
        <w:rPr>
          <w:rFonts w:hint="default" w:ascii="Times New Roman" w:hAnsi="Times New Roman" w:cs="Times New Roman"/>
          <w:kern w:val="0"/>
          <w:sz w:val="28"/>
          <w:szCs w:val="28"/>
        </w:rPr>
      </w:pPr>
      <w:r>
        <w:rPr>
          <w:rFonts w:hint="default" w:ascii="Times New Roman" w:hAnsi="Times New Roman" w:cs="Times New Roman"/>
          <w:kern w:val="0"/>
          <w:sz w:val="28"/>
          <w:szCs w:val="28"/>
        </w:rPr>
        <w:t>安阳九久化学科技有限公司成立于2013年5月，为安阳九龙化工有限公司和新加坡九天化工集团（新加坡上市公司）共同出资建设，分别占股本的51%与49%，属外商投资企业。注册资本</w:t>
      </w:r>
      <w:r>
        <w:rPr>
          <w:rFonts w:hint="default" w:ascii="Times New Roman" w:hAnsi="Times New Roman" w:cs="Times New Roman"/>
          <w:sz w:val="28"/>
          <w:szCs w:val="28"/>
        </w:rPr>
        <w:t>8163.27万</w:t>
      </w:r>
      <w:r>
        <w:rPr>
          <w:rFonts w:hint="default" w:ascii="Times New Roman" w:hAnsi="Times New Roman" w:cs="Times New Roman"/>
          <w:kern w:val="0"/>
          <w:sz w:val="28"/>
          <w:szCs w:val="28"/>
        </w:rPr>
        <w:t>元，法人代表马中洲。公司下设安全环保部、综合管理办公室、生产技术部、设备管理部、供销部等管理科室以及保险粉车间、焦亚车间</w:t>
      </w:r>
      <w:r>
        <w:rPr>
          <w:rFonts w:hint="eastAsia" w:ascii="Times New Roman" w:hAnsi="Times New Roman" w:cs="Times New Roman"/>
          <w:kern w:val="0"/>
          <w:sz w:val="28"/>
          <w:szCs w:val="28"/>
          <w:lang w:val="en-US" w:eastAsia="zh-CN"/>
        </w:rPr>
        <w:t>等</w:t>
      </w:r>
      <w:r>
        <w:rPr>
          <w:rFonts w:hint="default" w:ascii="Times New Roman" w:hAnsi="Times New Roman" w:cs="Times New Roman"/>
          <w:kern w:val="0"/>
          <w:sz w:val="28"/>
          <w:szCs w:val="28"/>
        </w:rPr>
        <w:t>。</w:t>
      </w:r>
    </w:p>
    <w:p>
      <w:pPr>
        <w:spacing w:line="360" w:lineRule="auto"/>
        <w:ind w:firstLine="560" w:firstLineChars="200"/>
        <w:rPr>
          <w:rFonts w:hint="default" w:ascii="Times New Roman" w:hAnsi="Times New Roman" w:eastAsia="宋体" w:cs="Times New Roman"/>
          <w:color w:val="000000" w:themeColor="text1"/>
          <w:sz w:val="28"/>
          <w:szCs w:val="28"/>
          <w:lang w:eastAsia="zh-CN"/>
          <w14:textFill>
            <w14:solidFill>
              <w14:schemeClr w14:val="tx1"/>
            </w14:solidFill>
          </w14:textFill>
        </w:rPr>
      </w:pPr>
      <w:r>
        <w:rPr>
          <w:rFonts w:hint="default" w:ascii="Times New Roman" w:hAnsi="Times New Roman" w:cs="Times New Roman"/>
          <w:color w:val="000000" w:themeColor="text1"/>
          <w:sz w:val="28"/>
          <w:szCs w:val="28"/>
          <w:lang w:eastAsia="zh-CN"/>
          <w14:textFill>
            <w14:solidFill>
              <w14:schemeClr w14:val="tx1"/>
            </w14:solidFill>
          </w14:textFill>
        </w:rPr>
        <w:t>安阳九久化学科技有限公司</w:t>
      </w:r>
      <w:r>
        <w:rPr>
          <w:rFonts w:hint="default" w:ascii="Times New Roman" w:hAnsi="Times New Roman" w:eastAsia="宋体" w:cs="Times New Roman"/>
          <w:color w:val="000000" w:themeColor="text1"/>
          <w:sz w:val="28"/>
          <w:szCs w:val="28"/>
          <w14:textFill>
            <w14:solidFill>
              <w14:schemeClr w14:val="tx1"/>
            </w14:solidFill>
          </w14:textFill>
        </w:rPr>
        <w:t>位于安阳县煤化工产业园区（一区两园）水冶片区</w:t>
      </w:r>
      <w:r>
        <w:rPr>
          <w:rFonts w:hint="default" w:ascii="Times New Roman" w:hAnsi="Times New Roman" w:cs="Times New Roman"/>
          <w:color w:val="000000" w:themeColor="text1"/>
          <w:sz w:val="28"/>
          <w:szCs w:val="28"/>
          <w:lang w:eastAsia="zh-CN"/>
          <w14:textFill>
            <w14:solidFill>
              <w14:schemeClr w14:val="tx1"/>
            </w14:solidFill>
          </w14:textFill>
        </w:rPr>
        <w:t>，</w:t>
      </w:r>
      <w:r>
        <w:rPr>
          <w:rFonts w:hint="default" w:ascii="Times New Roman" w:hAnsi="Times New Roman" w:cs="Times New Roman"/>
          <w:spacing w:val="-4"/>
          <w:szCs w:val="21"/>
        </w:rPr>
        <w:t>在安化污水处理终端空闲场地（建液体二氧化硫装置、焦亚硫酸钠装置、保险粉装置）建设</w:t>
      </w:r>
      <w:r>
        <w:rPr>
          <w:rFonts w:hint="default" w:ascii="Times New Roman" w:hAnsi="Times New Roman" w:eastAsia="宋体" w:cs="Times New Roman"/>
          <w:color w:val="000000" w:themeColor="text1"/>
          <w:sz w:val="28"/>
          <w:szCs w:val="28"/>
          <w14:textFill>
            <w14:solidFill>
              <w14:schemeClr w14:val="tx1"/>
            </w14:solidFill>
          </w14:textFill>
        </w:rPr>
        <w:t>。</w:t>
      </w:r>
      <w:r>
        <w:rPr>
          <w:rFonts w:hint="eastAsia" w:ascii="Times New Roman" w:hAnsi="Times New Roman" w:cs="Times New Roman"/>
          <w:color w:val="000000" w:themeColor="text1"/>
          <w:sz w:val="28"/>
          <w:szCs w:val="28"/>
          <w:lang w:val="en-US" w:eastAsia="zh-CN"/>
          <w14:textFill>
            <w14:solidFill>
              <w14:schemeClr w14:val="tx1"/>
            </w14:solidFill>
          </w14:textFill>
        </w:rPr>
        <w:t>建设性质为新建，2014年11月建成。</w:t>
      </w:r>
      <w:r>
        <w:rPr>
          <w:rFonts w:hint="default" w:ascii="Times New Roman" w:hAnsi="Times New Roman" w:eastAsia="宋体" w:cs="Times New Roman"/>
          <w:color w:val="000000" w:themeColor="text1"/>
          <w:sz w:val="28"/>
          <w:szCs w:val="28"/>
          <w14:textFill>
            <w14:solidFill>
              <w14:schemeClr w14:val="tx1"/>
            </w14:solidFill>
          </w14:textFill>
        </w:rPr>
        <w:t>建设规模为年产10万吨保险粉产品，并副产亚硫酸钠和硫酸，其中亚硫酸钠是保险粉装置生产过程的副产品，硫酸是二氧化硫、焦亚硫酸钠装置的副产品。</w:t>
      </w:r>
      <w:r>
        <w:rPr>
          <w:rFonts w:hint="default" w:ascii="Times New Roman" w:hAnsi="Times New Roman" w:cs="Times New Roman"/>
          <w:color w:val="000000" w:themeColor="text1"/>
          <w:sz w:val="28"/>
          <w:szCs w:val="28"/>
          <w:lang w:val="en-US" w:eastAsia="zh-CN"/>
          <w14:textFill>
            <w14:solidFill>
              <w14:schemeClr w14:val="tx1"/>
            </w14:solidFill>
          </w14:textFill>
        </w:rPr>
        <w:t>项目总投资</w:t>
      </w:r>
      <w:r>
        <w:rPr>
          <w:rFonts w:hint="default" w:ascii="Times New Roman" w:hAnsi="Times New Roman" w:cs="Times New Roman"/>
          <w:szCs w:val="21"/>
        </w:rPr>
        <w:t>25078万元</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占地</w:t>
      </w:r>
      <w:r>
        <w:rPr>
          <w:rFonts w:hint="default" w:ascii="Times New Roman" w:hAnsi="Times New Roman" w:cs="Times New Roman"/>
          <w:szCs w:val="21"/>
        </w:rPr>
        <w:t>76223平方米</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劳动定员290人，工作制度为</w:t>
      </w:r>
      <w:r>
        <w:rPr>
          <w:rFonts w:hint="default" w:ascii="Times New Roman" w:hAnsi="Times New Roman" w:cs="Times New Roman"/>
          <w:szCs w:val="21"/>
        </w:rPr>
        <w:t>年生产300天、7200小时，三班倒、8小时/班</w:t>
      </w:r>
      <w:r>
        <w:rPr>
          <w:rFonts w:hint="default" w:ascii="Times New Roman" w:hAnsi="Times New Roman" w:cs="Times New Roman"/>
          <w:szCs w:val="21"/>
          <w:lang w:eastAsia="zh-CN"/>
        </w:rPr>
        <w:t>。</w:t>
      </w:r>
      <w:r>
        <w:rPr>
          <w:rFonts w:hint="default" w:ascii="Times New Roman" w:hAnsi="Times New Roman" w:eastAsia="宋体" w:cs="Times New Roman"/>
          <w:color w:val="000000" w:themeColor="text1"/>
          <w:sz w:val="28"/>
          <w:szCs w:val="28"/>
          <w14:textFill>
            <w14:solidFill>
              <w14:schemeClr w14:val="tx1"/>
            </w14:solidFill>
          </w14:textFill>
        </w:rPr>
        <w:t>属C2613无机盐制造，经营范围包括保险粉（连二亚硫酸钠）、二氧化硫、硫酸的生产和经营及相关技术服务；化工产品（不含易燃易爆及危险化学品）的销售；经营范围内的进出口业务</w:t>
      </w:r>
      <w:r>
        <w:rPr>
          <w:rFonts w:hint="default" w:ascii="Times New Roman" w:hAnsi="Times New Roman" w:eastAsia="宋体" w:cs="Times New Roman"/>
          <w:color w:val="000000" w:themeColor="text1"/>
          <w:sz w:val="28"/>
          <w:szCs w:val="28"/>
          <w:lang w:eastAsia="zh-CN"/>
          <w14:textFill>
            <w14:solidFill>
              <w14:schemeClr w14:val="tx1"/>
            </w14:solidFill>
          </w14:textFill>
        </w:rPr>
        <w:t>。</w:t>
      </w:r>
    </w:p>
    <w:p>
      <w:pPr>
        <w:spacing w:line="360" w:lineRule="auto"/>
        <w:ind w:firstLine="560" w:firstLineChars="200"/>
        <w:rPr>
          <w:rFonts w:hint="default" w:ascii="Times New Roman" w:hAnsi="Times New Roman" w:eastAsia="宋体" w:cs="Times New Roman"/>
          <w:color w:val="000000"/>
          <w:sz w:val="28"/>
          <w:szCs w:val="28"/>
          <w:highlight w:val="none"/>
          <w:lang w:val="en-US" w:eastAsia="zh-CN"/>
        </w:rPr>
      </w:pPr>
      <w:r>
        <w:rPr>
          <w:rFonts w:hint="eastAsia" w:ascii="Times New Roman" w:hAnsi="Times New Roman" w:cs="Times New Roman"/>
          <w:color w:val="000000"/>
          <w:sz w:val="28"/>
          <w:szCs w:val="28"/>
          <w:highlight w:val="none"/>
          <w:lang w:eastAsia="zh-CN"/>
        </w:rPr>
        <w:t>安阳九久化学科技有限公司</w:t>
      </w:r>
      <w:r>
        <w:rPr>
          <w:rFonts w:hint="default" w:ascii="Times New Roman" w:hAnsi="Times New Roman" w:eastAsia="宋体" w:cs="Times New Roman"/>
          <w:color w:val="000000"/>
          <w:sz w:val="28"/>
          <w:szCs w:val="28"/>
          <w:highlight w:val="none"/>
          <w:lang w:val="en-US" w:eastAsia="zh-CN"/>
        </w:rPr>
        <w:t>产品包括：</w:t>
      </w:r>
      <w:r>
        <w:rPr>
          <w:rFonts w:hint="eastAsia" w:ascii="Times New Roman" w:hAnsi="Times New Roman" w:cs="Times New Roman"/>
          <w:color w:val="000000"/>
          <w:sz w:val="28"/>
          <w:szCs w:val="28"/>
          <w:highlight w:val="none"/>
          <w:lang w:val="en-US" w:eastAsia="zh-CN"/>
        </w:rPr>
        <w:t>年产10万吨产品保险粉和1万吨副产品亚硫酸钠</w:t>
      </w:r>
      <w:r>
        <w:rPr>
          <w:rFonts w:hint="default" w:ascii="Times New Roman" w:hAnsi="Times New Roman" w:eastAsia="宋体" w:cs="Times New Roman"/>
          <w:color w:val="000000"/>
          <w:sz w:val="28"/>
          <w:szCs w:val="28"/>
          <w:highlight w:val="none"/>
          <w:lang w:val="en-US" w:eastAsia="zh-CN"/>
        </w:rPr>
        <w:t>。</w:t>
      </w:r>
    </w:p>
    <w:p>
      <w:pPr>
        <w:spacing w:line="360" w:lineRule="auto"/>
        <w:ind w:firstLine="560" w:firstLineChars="200"/>
        <w:rPr>
          <w:rFonts w:hint="eastAsia" w:ascii="Times New Roman" w:hAnsi="Times New Roman" w:cs="Times New Roman"/>
          <w:color w:val="000000"/>
          <w:sz w:val="28"/>
          <w:szCs w:val="28"/>
          <w:highlight w:val="none"/>
          <w:lang w:val="en-US" w:eastAsia="zh-CN"/>
        </w:rPr>
      </w:pPr>
      <w:r>
        <w:rPr>
          <w:rFonts w:hint="eastAsia" w:ascii="Times New Roman" w:hAnsi="Times New Roman" w:cs="Times New Roman"/>
          <w:color w:val="000000"/>
          <w:sz w:val="28"/>
          <w:szCs w:val="28"/>
          <w:highlight w:val="none"/>
          <w:lang w:val="en-US" w:eastAsia="zh-CN"/>
        </w:rPr>
        <w:t>经现场勘察以及对周边人员访谈得知：安阳</w:t>
      </w:r>
      <w:r>
        <w:rPr>
          <w:rFonts w:hint="eastAsia" w:ascii="Times New Roman" w:hAnsi="Times New Roman" w:cs="Times New Roman"/>
          <w:color w:val="000000"/>
          <w:sz w:val="28"/>
          <w:szCs w:val="28"/>
          <w:highlight w:val="none"/>
          <w:lang w:eastAsia="zh-CN"/>
        </w:rPr>
        <w:t>九久化学科技有限公司</w:t>
      </w:r>
      <w:r>
        <w:rPr>
          <w:rFonts w:hint="eastAsia" w:ascii="Times New Roman" w:hAnsi="Times New Roman" w:cs="Times New Roman"/>
          <w:color w:val="000000"/>
          <w:sz w:val="28"/>
          <w:szCs w:val="28"/>
          <w:highlight w:val="none"/>
          <w:lang w:val="en-US" w:eastAsia="zh-CN"/>
        </w:rPr>
        <w:t>现处于长期停产状态。</w:t>
      </w:r>
    </w:p>
    <w:p>
      <w:pPr>
        <w:spacing w:line="360" w:lineRule="auto"/>
        <w:ind w:firstLine="560" w:firstLineChars="200"/>
        <w:rPr>
          <w:rFonts w:hint="default" w:ascii="Times New Roman" w:hAnsi="Times New Roman" w:eastAsia="宋体" w:cs="Times New Roman"/>
          <w:color w:val="000000"/>
          <w:sz w:val="28"/>
          <w:szCs w:val="28"/>
          <w:highlight w:val="none"/>
        </w:rPr>
      </w:pPr>
      <w:r>
        <w:rPr>
          <w:rFonts w:hint="eastAsia" w:ascii="Times New Roman" w:hAnsi="Times New Roman" w:cs="Times New Roman"/>
          <w:color w:val="000000"/>
          <w:sz w:val="28"/>
          <w:szCs w:val="28"/>
          <w:highlight w:val="none"/>
          <w:lang w:eastAsia="zh-CN"/>
        </w:rPr>
        <w:t>安阳九久化学科技有限公司</w:t>
      </w:r>
      <w:r>
        <w:rPr>
          <w:rFonts w:hint="default" w:ascii="Times New Roman" w:hAnsi="Times New Roman" w:eastAsia="宋体" w:cs="Times New Roman"/>
          <w:color w:val="000000"/>
          <w:sz w:val="28"/>
          <w:szCs w:val="28"/>
          <w:highlight w:val="none"/>
        </w:rPr>
        <w:t>基本情况见表</w:t>
      </w:r>
      <w:r>
        <w:rPr>
          <w:rFonts w:hint="default" w:ascii="Times New Roman" w:hAnsi="Times New Roman" w:cs="Times New Roman"/>
          <w:color w:val="000000"/>
          <w:sz w:val="28"/>
          <w:szCs w:val="28"/>
          <w:highlight w:val="none"/>
          <w:lang w:val="en-US" w:eastAsia="zh-CN"/>
        </w:rPr>
        <w:t>2</w:t>
      </w:r>
      <w:r>
        <w:rPr>
          <w:rFonts w:hint="default" w:ascii="Times New Roman" w:hAnsi="Times New Roman" w:eastAsia="宋体" w:cs="Times New Roman"/>
          <w:color w:val="000000"/>
          <w:sz w:val="28"/>
          <w:szCs w:val="28"/>
          <w:highlight w:val="none"/>
        </w:rPr>
        <w:t>-1。</w:t>
      </w:r>
    </w:p>
    <w:p>
      <w:pPr>
        <w:pStyle w:val="2"/>
        <w:keepNext w:val="0"/>
        <w:keepLines w:val="0"/>
        <w:pageBreakBefore w:val="0"/>
        <w:widowControl/>
        <w:kinsoku/>
        <w:wordWrap/>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b/>
          <w:spacing w:val="-5"/>
          <w:sz w:val="24"/>
        </w:rPr>
      </w:pPr>
    </w:p>
    <w:p>
      <w:pPr>
        <w:pStyle w:val="2"/>
        <w:keepNext w:val="0"/>
        <w:keepLines w:val="0"/>
        <w:pageBreakBefore w:val="0"/>
        <w:widowControl/>
        <w:kinsoku/>
        <w:wordWrap/>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b/>
          <w:spacing w:val="-5"/>
          <w:sz w:val="24"/>
        </w:rPr>
      </w:pPr>
    </w:p>
    <w:p>
      <w:pPr>
        <w:pStyle w:val="2"/>
        <w:keepNext w:val="0"/>
        <w:keepLines w:val="0"/>
        <w:pageBreakBefore w:val="0"/>
        <w:widowControl/>
        <w:kinsoku/>
        <w:wordWrap/>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b/>
          <w:spacing w:val="-5"/>
          <w:sz w:val="24"/>
        </w:rPr>
      </w:pPr>
    </w:p>
    <w:p>
      <w:pPr>
        <w:pStyle w:val="2"/>
        <w:keepNext w:val="0"/>
        <w:keepLines w:val="0"/>
        <w:pageBreakBefore w:val="0"/>
        <w:widowControl/>
        <w:kinsoku/>
        <w:wordWrap/>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b/>
          <w:spacing w:val="-5"/>
          <w:sz w:val="24"/>
        </w:rPr>
      </w:pPr>
    </w:p>
    <w:p>
      <w:pPr>
        <w:pStyle w:val="2"/>
        <w:keepNext w:val="0"/>
        <w:keepLines w:val="0"/>
        <w:pageBreakBefore w:val="0"/>
        <w:widowControl/>
        <w:kinsoku/>
        <w:wordWrap/>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b/>
          <w:spacing w:val="-5"/>
          <w:sz w:val="24"/>
        </w:rPr>
      </w:pPr>
    </w:p>
    <w:p>
      <w:pPr>
        <w:rPr>
          <w:rFonts w:hint="default" w:ascii="Times New Roman" w:hAnsi="Times New Roman" w:eastAsia="宋体" w:cs="Times New Roman"/>
          <w:b/>
          <w:spacing w:val="-5"/>
          <w:sz w:val="24"/>
        </w:rPr>
      </w:pPr>
    </w:p>
    <w:p>
      <w:pPr>
        <w:pStyle w:val="2"/>
        <w:rPr>
          <w:rFonts w:hint="default"/>
        </w:rPr>
      </w:pPr>
    </w:p>
    <w:p>
      <w:pPr>
        <w:pStyle w:val="2"/>
        <w:keepNext w:val="0"/>
        <w:keepLines w:val="0"/>
        <w:pageBreakBefore w:val="0"/>
        <w:widowControl/>
        <w:kinsoku/>
        <w:wordWrap/>
        <w:overflowPunct/>
        <w:topLinePunct w:val="0"/>
        <w:autoSpaceDE/>
        <w:autoSpaceDN/>
        <w:bidi w:val="0"/>
        <w:adjustRightInd w:val="0"/>
        <w:snapToGrid w:val="0"/>
        <w:spacing w:after="0"/>
        <w:ind w:left="0" w:leftChars="0"/>
        <w:jc w:val="center"/>
        <w:textAlignment w:val="auto"/>
        <w:rPr>
          <w:rFonts w:hint="default" w:ascii="Times New Roman" w:hAnsi="Times New Roman" w:eastAsia="宋体" w:cs="Times New Roman"/>
        </w:rPr>
      </w:pPr>
      <w:r>
        <w:rPr>
          <w:rFonts w:hint="default" w:ascii="Times New Roman" w:hAnsi="Times New Roman" w:eastAsia="宋体" w:cs="Times New Roman"/>
          <w:b/>
          <w:spacing w:val="-5"/>
          <w:sz w:val="24"/>
        </w:rPr>
        <w:t>表</w:t>
      </w:r>
      <w:r>
        <w:rPr>
          <w:rFonts w:hint="default" w:ascii="Times New Roman" w:hAnsi="Times New Roman" w:eastAsia="宋体" w:cs="Times New Roman"/>
          <w:b/>
          <w:spacing w:val="-3"/>
          <w:sz w:val="24"/>
          <w:lang w:val="en-US" w:eastAsia="zh-CN"/>
        </w:rPr>
        <w:t>2</w:t>
      </w:r>
      <w:r>
        <w:rPr>
          <w:rFonts w:hint="default" w:ascii="Times New Roman" w:hAnsi="Times New Roman" w:eastAsia="宋体" w:cs="Times New Roman"/>
          <w:b/>
          <w:spacing w:val="-3"/>
          <w:sz w:val="24"/>
        </w:rPr>
        <w:t>-1</w:t>
      </w:r>
      <w:r>
        <w:rPr>
          <w:rFonts w:hint="default" w:ascii="Times New Roman" w:hAnsi="Times New Roman" w:eastAsia="宋体" w:cs="Times New Roman"/>
          <w:b/>
          <w:spacing w:val="-3"/>
          <w:sz w:val="24"/>
        </w:rPr>
        <w:tab/>
      </w:r>
      <w:r>
        <w:rPr>
          <w:rFonts w:hint="eastAsia" w:cs="Times New Roman"/>
          <w:b/>
          <w:spacing w:val="-5"/>
          <w:sz w:val="24"/>
          <w:lang w:eastAsia="zh-CN"/>
        </w:rPr>
        <w:t>安阳九久化学科技有限公司</w:t>
      </w:r>
      <w:r>
        <w:rPr>
          <w:rFonts w:hint="default" w:ascii="Times New Roman" w:hAnsi="Times New Roman" w:eastAsia="宋体" w:cs="Times New Roman"/>
          <w:b/>
          <w:spacing w:val="-8"/>
          <w:sz w:val="24"/>
        </w:rPr>
        <w:t>基本</w:t>
      </w:r>
      <w:r>
        <w:rPr>
          <w:rFonts w:hint="default" w:ascii="Times New Roman" w:hAnsi="Times New Roman" w:eastAsia="宋体" w:cs="Times New Roman"/>
          <w:b/>
          <w:spacing w:val="-5"/>
          <w:sz w:val="24"/>
        </w:rPr>
        <w:t>情</w:t>
      </w:r>
      <w:r>
        <w:rPr>
          <w:rFonts w:hint="default" w:ascii="Times New Roman" w:hAnsi="Times New Roman" w:eastAsia="宋体" w:cs="Times New Roman"/>
          <w:b/>
          <w:spacing w:val="-8"/>
          <w:sz w:val="24"/>
        </w:rPr>
        <w:t>况</w:t>
      </w:r>
      <w:r>
        <w:rPr>
          <w:rFonts w:hint="default" w:ascii="Times New Roman" w:hAnsi="Times New Roman" w:eastAsia="宋体" w:cs="Times New Roman"/>
          <w:b/>
          <w:sz w:val="24"/>
        </w:rPr>
        <w:t>表</w:t>
      </w:r>
    </w:p>
    <w:tbl>
      <w:tblPr>
        <w:tblStyle w:val="21"/>
        <w:tblW w:w="503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14"/>
        <w:gridCol w:w="3198"/>
        <w:gridCol w:w="2212"/>
        <w:gridCol w:w="24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企业名称</w:t>
            </w:r>
          </w:p>
        </w:tc>
        <w:tc>
          <w:tcPr>
            <w:tcW w:w="4066" w:type="pct"/>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eastAsia="zh-CN"/>
              </w:rPr>
              <w:t>安阳九久化学科技有限公司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公司地址</w:t>
            </w:r>
          </w:p>
        </w:tc>
        <w:tc>
          <w:tcPr>
            <w:tcW w:w="4066" w:type="pct"/>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lang w:eastAsia="zh-CN"/>
              </w:rPr>
              <w:t>安阳县煤化工产业园区（一区两园）水冶片区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地理位置</w:t>
            </w:r>
          </w:p>
        </w:tc>
        <w:tc>
          <w:tcPr>
            <w:tcW w:w="164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color w:val="auto"/>
                <w:sz w:val="21"/>
                <w:szCs w:val="21"/>
                <w:highlight w:val="none"/>
              </w:rPr>
              <w:t>114.120815</w:t>
            </w:r>
            <w:r>
              <w:rPr>
                <w:rFonts w:hint="eastAsia" w:ascii="Times New Roman" w:hAnsi="Times New Roman" w:eastAsia="宋体" w:cs="Times New Roman"/>
                <w:color w:val="auto"/>
                <w:sz w:val="21"/>
                <w:szCs w:val="21"/>
                <w:highlight w:val="none"/>
                <w:lang w:val="en-US" w:eastAsia="zh-CN"/>
              </w:rPr>
              <w:t>°E</w:t>
            </w:r>
            <w:r>
              <w:rPr>
                <w:rFonts w:hint="eastAsia" w:ascii="Times New Roman" w:hAnsi="Times New Roman"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rPr>
              <w:t>36.105161</w:t>
            </w:r>
            <w:r>
              <w:rPr>
                <w:rFonts w:hint="eastAsia" w:ascii="Times New Roman" w:hAnsi="Times New Roman" w:eastAsia="宋体" w:cs="Times New Roman"/>
                <w:color w:val="auto"/>
                <w:sz w:val="21"/>
                <w:szCs w:val="21"/>
                <w:highlight w:val="none"/>
                <w:lang w:val="en-US" w:eastAsia="zh-CN"/>
              </w:rPr>
              <w:t>°N</w:t>
            </w:r>
          </w:p>
        </w:tc>
        <w:tc>
          <w:tcPr>
            <w:tcW w:w="1138"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厂区面积</w:t>
            </w:r>
          </w:p>
        </w:tc>
        <w:tc>
          <w:tcPr>
            <w:tcW w:w="128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rPr>
              <w:t>占地76223</w:t>
            </w:r>
            <w:r>
              <w:rPr>
                <w:rFonts w:hint="eastAsia" w:ascii="Times New Roman" w:hAnsi="Times New Roman" w:eastAsia="宋体" w:cs="Times New Roman"/>
                <w:i w:val="0"/>
                <w:iCs w:val="0"/>
                <w:sz w:val="21"/>
                <w:szCs w:val="21"/>
                <w:u w:val="none"/>
              </w:rPr>
              <w:t>m</w:t>
            </w:r>
            <w:r>
              <w:rPr>
                <w:rFonts w:hint="eastAsia" w:ascii="Times New Roman" w:hAnsi="Times New Roman" w:eastAsia="宋体" w:cs="Times New Roman"/>
                <w:i w:val="0"/>
                <w:iCs w:val="0"/>
                <w:sz w:val="21"/>
                <w:szCs w:val="21"/>
                <w:u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法定代表人</w:t>
            </w:r>
          </w:p>
        </w:tc>
        <w:tc>
          <w:tcPr>
            <w:tcW w:w="164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eastAsia="zh-CN"/>
              </w:rPr>
              <w:t>马中洲</w:t>
            </w:r>
          </w:p>
        </w:tc>
        <w:tc>
          <w:tcPr>
            <w:tcW w:w="1138"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统一社会信用代码</w:t>
            </w:r>
          </w:p>
        </w:tc>
        <w:tc>
          <w:tcPr>
            <w:tcW w:w="128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91410500067570737P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职工总人数</w:t>
            </w:r>
          </w:p>
        </w:tc>
        <w:tc>
          <w:tcPr>
            <w:tcW w:w="164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rPr>
              <w:t>人</w:t>
            </w:r>
          </w:p>
        </w:tc>
        <w:tc>
          <w:tcPr>
            <w:tcW w:w="1138"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管理及技术人数</w:t>
            </w:r>
          </w:p>
        </w:tc>
        <w:tc>
          <w:tcPr>
            <w:tcW w:w="128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行业类别</w:t>
            </w:r>
          </w:p>
        </w:tc>
        <w:tc>
          <w:tcPr>
            <w:tcW w:w="164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C2613无机盐制造</w:t>
            </w:r>
          </w:p>
        </w:tc>
        <w:tc>
          <w:tcPr>
            <w:tcW w:w="1138"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邮政编码</w:t>
            </w:r>
          </w:p>
        </w:tc>
        <w:tc>
          <w:tcPr>
            <w:tcW w:w="128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455100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总投资</w:t>
            </w:r>
          </w:p>
        </w:tc>
        <w:tc>
          <w:tcPr>
            <w:tcW w:w="164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25078万元</w:t>
            </w:r>
          </w:p>
        </w:tc>
        <w:tc>
          <w:tcPr>
            <w:tcW w:w="1138"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cs="Times New Roman"/>
                <w:sz w:val="21"/>
                <w:szCs w:val="21"/>
                <w:highlight w:val="none"/>
                <w:lang w:val="en-US" w:eastAsia="zh-CN"/>
              </w:rPr>
              <w:t>成立</w:t>
            </w:r>
            <w:r>
              <w:rPr>
                <w:rFonts w:hint="default" w:ascii="Times New Roman" w:hAnsi="Times New Roman" w:eastAsia="宋体" w:cs="Times New Roman"/>
                <w:sz w:val="21"/>
                <w:szCs w:val="21"/>
                <w:highlight w:val="none"/>
              </w:rPr>
              <w:t>时间</w:t>
            </w:r>
          </w:p>
        </w:tc>
        <w:tc>
          <w:tcPr>
            <w:tcW w:w="128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rPr>
              <w:t>20</w:t>
            </w:r>
            <w:r>
              <w:rPr>
                <w:rFonts w:hint="eastAsia" w:ascii="Times New Roman" w:hAnsi="Times New Roman" w:cs="Times New Roman"/>
                <w:sz w:val="21"/>
                <w:szCs w:val="21"/>
                <w:lang w:val="en-US" w:eastAsia="zh-CN"/>
              </w:rPr>
              <w:t>13</w:t>
            </w:r>
            <w:r>
              <w:rPr>
                <w:rFonts w:hint="default" w:ascii="Times New Roman" w:hAnsi="Times New Roman" w:eastAsia="宋体" w:cs="Times New Roman"/>
                <w:sz w:val="21"/>
                <w:szCs w:val="21"/>
                <w:highlight w:val="no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3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经济性质隶属关系</w:t>
            </w:r>
          </w:p>
        </w:tc>
        <w:tc>
          <w:tcPr>
            <w:tcW w:w="4066" w:type="pct"/>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安阳九龙化工有限公司和新加坡九天化工集团（新加坡上市公司）共同出资建设</w:t>
            </w:r>
          </w:p>
        </w:tc>
      </w:tr>
    </w:tbl>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rPr>
      </w:pPr>
      <w:bookmarkStart w:id="48" w:name="_Toc8281"/>
      <w:r>
        <w:rPr>
          <w:rFonts w:hint="default" w:ascii="Times New Roman" w:hAnsi="Times New Roman" w:cs="Times New Roman"/>
          <w:sz w:val="30"/>
          <w:szCs w:val="30"/>
          <w:highlight w:val="none"/>
        </w:rPr>
        <w:t>2.2建设项目概况</w:t>
      </w:r>
      <w:bookmarkEnd w:id="48"/>
    </w:p>
    <w:p>
      <w:pPr>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sz w:val="28"/>
          <w:szCs w:val="28"/>
          <w:highlight w:val="red"/>
        </w:rPr>
      </w:pPr>
      <w:r>
        <w:rPr>
          <w:rFonts w:hint="default" w:ascii="Times New Roman" w:hAnsi="Times New Roman" w:cs="Times New Roman"/>
          <w:sz w:val="28"/>
          <w:szCs w:val="28"/>
          <w:highlight w:val="none"/>
          <w:lang w:eastAsia="zh-CN"/>
        </w:rPr>
        <w:t>20</w:t>
      </w:r>
      <w:r>
        <w:rPr>
          <w:rFonts w:hint="eastAsia" w:ascii="Times New Roman" w:hAnsi="Times New Roman" w:cs="Times New Roman"/>
          <w:sz w:val="28"/>
          <w:szCs w:val="28"/>
          <w:highlight w:val="none"/>
          <w:lang w:val="en-US" w:eastAsia="zh-CN"/>
        </w:rPr>
        <w:t>16</w:t>
      </w:r>
      <w:r>
        <w:rPr>
          <w:rFonts w:hint="default" w:ascii="Times New Roman" w:hAnsi="Times New Roman" w:cs="Times New Roman"/>
          <w:sz w:val="28"/>
          <w:szCs w:val="28"/>
          <w:highlight w:val="none"/>
          <w:lang w:eastAsia="zh-CN"/>
        </w:rPr>
        <w:t>年</w:t>
      </w:r>
      <w:r>
        <w:rPr>
          <w:rFonts w:hint="default" w:ascii="Times New Roman" w:hAnsi="Times New Roman" w:cs="Times New Roman"/>
          <w:sz w:val="28"/>
          <w:szCs w:val="28"/>
          <w:highlight w:val="none"/>
          <w:lang w:val="en-US" w:eastAsia="zh-CN"/>
        </w:rPr>
        <w:t>0</w:t>
      </w:r>
      <w:r>
        <w:rPr>
          <w:rFonts w:hint="eastAsia" w:ascii="Times New Roman" w:hAnsi="Times New Roman" w:cs="Times New Roman"/>
          <w:sz w:val="28"/>
          <w:szCs w:val="28"/>
          <w:highlight w:val="none"/>
          <w:lang w:val="en-US" w:eastAsia="zh-CN"/>
        </w:rPr>
        <w:t>9</w:t>
      </w:r>
      <w:r>
        <w:rPr>
          <w:rFonts w:hint="default" w:ascii="Times New Roman" w:hAnsi="Times New Roman" w:cs="Times New Roman"/>
          <w:sz w:val="28"/>
          <w:szCs w:val="28"/>
          <w:highlight w:val="none"/>
          <w:lang w:eastAsia="zh-CN"/>
        </w:rPr>
        <w:t>月</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w:t>
      </w:r>
      <w:r>
        <w:rPr>
          <w:rFonts w:hint="eastAsia" w:ascii="Times New Roman" w:hAnsi="Times New Roman" w:cs="Times New Roman"/>
          <w:color w:val="000000" w:themeColor="text1"/>
          <w:sz w:val="28"/>
          <w:szCs w:val="28"/>
          <w:lang w:val="en-US" w:eastAsia="zh-CN"/>
          <w14:textFill>
            <w14:solidFill>
              <w14:schemeClr w14:val="tx1"/>
            </w14:solidFill>
          </w14:textFill>
        </w:rPr>
        <w:t>受</w:t>
      </w:r>
      <w:r>
        <w:rPr>
          <w:rFonts w:hint="eastAsia" w:ascii="Times New Roman" w:hAnsi="Times New Roman" w:cs="Times New Roman"/>
          <w:sz w:val="28"/>
          <w:szCs w:val="28"/>
          <w:highlight w:val="none"/>
          <w:lang w:val="en-US" w:eastAsia="zh-CN"/>
        </w:rPr>
        <w:t>安阳九久化学科技有限公司委托，河南省化工研究所有限责任公司</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编制完成了</w:t>
      </w:r>
      <w:r>
        <w:rPr>
          <w:rFonts w:hint="default" w:ascii="Times New Roman" w:hAnsi="Times New Roman" w:cs="Times New Roman"/>
          <w:sz w:val="28"/>
          <w:szCs w:val="28"/>
          <w:highlight w:val="none"/>
          <w:lang w:eastAsia="zh-CN"/>
        </w:rPr>
        <w:t>《</w:t>
      </w:r>
      <w:r>
        <w:rPr>
          <w:rFonts w:hint="eastAsia" w:ascii="Times New Roman" w:hAnsi="Times New Roman" w:cs="Times New Roman"/>
          <w:sz w:val="28"/>
          <w:szCs w:val="28"/>
          <w:highlight w:val="none"/>
          <w:lang w:val="en-US" w:eastAsia="zh-CN"/>
        </w:rPr>
        <w:t>安阳九久化学科技有限公司</w:t>
      </w:r>
      <w:r>
        <w:rPr>
          <w:rFonts w:hint="eastAsia" w:ascii="Times New Roman" w:hAnsi="Times New Roman" w:cs="Times New Roman"/>
          <w:sz w:val="28"/>
          <w:szCs w:val="28"/>
          <w:highlight w:val="none"/>
          <w:lang w:eastAsia="zh-CN"/>
        </w:rPr>
        <w:t>年产10万吨保险粉项目</w:t>
      </w:r>
      <w:r>
        <w:rPr>
          <w:rFonts w:hint="default" w:ascii="Times New Roman" w:hAnsi="Times New Roman" w:cs="Times New Roman"/>
          <w:sz w:val="28"/>
          <w:szCs w:val="28"/>
          <w:highlight w:val="none"/>
          <w:lang w:eastAsia="zh-CN"/>
        </w:rPr>
        <w:t>环境影响报告书》</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，2016年12月15日，安阳市环境保护局以《安</w:t>
      </w:r>
      <w:r>
        <w:rPr>
          <w:rFonts w:hint="eastAsia" w:ascii="Times New Roman" w:hAnsi="Times New Roman" w:cs="Times New Roman"/>
          <w:sz w:val="28"/>
          <w:szCs w:val="28"/>
          <w:highlight w:val="none"/>
          <w:lang w:val="en-US" w:eastAsia="zh-CN"/>
        </w:rPr>
        <w:t>阳市环境保护局关于环保违法违规建设项目备案的通告》安环文[2016]267号对安阳九久化学科技有限公司清改备案审批</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w:t>
      </w:r>
      <w:r>
        <w:rPr>
          <w:rFonts w:hint="eastAsia" w:ascii="Times New Roman" w:hAnsi="Times New Roman" w:cs="Times New Roman"/>
          <w:color w:val="000000" w:themeColor="text1"/>
          <w:sz w:val="28"/>
          <w:szCs w:val="28"/>
          <w:lang w:val="en-US" w:eastAsia="zh-CN"/>
          <w14:textFill>
            <w14:solidFill>
              <w14:schemeClr w14:val="tx1"/>
            </w14:solidFill>
          </w14:textFill>
        </w:rPr>
        <w:t>《</w:t>
      </w:r>
      <w:r>
        <w:rPr>
          <w:rFonts w:hint="eastAsia" w:ascii="Times New Roman" w:hAnsi="Times New Roman" w:cs="Times New Roman"/>
          <w:sz w:val="28"/>
          <w:szCs w:val="28"/>
          <w:highlight w:val="none"/>
          <w:lang w:val="en-US" w:eastAsia="zh-CN"/>
        </w:rPr>
        <w:t>安阳九久化学科技有限公司</w:t>
      </w:r>
      <w:r>
        <w:rPr>
          <w:rFonts w:hint="default" w:ascii="Times New Roman" w:hAnsi="Times New Roman" w:cs="Times New Roman"/>
          <w:sz w:val="28"/>
          <w:szCs w:val="28"/>
          <w:highlight w:val="none"/>
          <w:lang w:val="en-US" w:eastAsia="zh-CN"/>
        </w:rPr>
        <w:t>突发环境应急预案</w:t>
      </w:r>
      <w:r>
        <w:rPr>
          <w:rFonts w:hint="eastAsia" w:ascii="Times New Roman" w:hAnsi="Times New Roman" w:cs="Times New Roman"/>
          <w:sz w:val="28"/>
          <w:szCs w:val="28"/>
          <w:highlight w:val="none"/>
          <w:lang w:val="en-US" w:eastAsia="zh-CN"/>
        </w:rPr>
        <w:t>》和《</w:t>
      </w:r>
      <w:r>
        <w:rPr>
          <w:rFonts w:hint="default" w:ascii="Times New Roman" w:hAnsi="Times New Roman" w:cs="Times New Roman"/>
          <w:sz w:val="28"/>
          <w:szCs w:val="28"/>
          <w:highlight w:val="none"/>
          <w:lang w:val="en-US" w:eastAsia="zh-CN"/>
        </w:rPr>
        <w:t>安阳九久化学科技有限公司生产安全事故应急预案</w:t>
      </w:r>
      <w:r>
        <w:rPr>
          <w:rFonts w:hint="eastAsia" w:ascii="Times New Roman" w:hAnsi="Times New Roman" w:cs="Times New Roman"/>
          <w:sz w:val="28"/>
          <w:szCs w:val="28"/>
          <w:highlight w:val="none"/>
          <w:lang w:val="en-US" w:eastAsia="zh-CN"/>
        </w:rPr>
        <w:t>》</w:t>
      </w:r>
      <w:r>
        <w:rPr>
          <w:rFonts w:hint="default" w:ascii="Times New Roman" w:hAnsi="Times New Roman" w:cs="Times New Roman"/>
          <w:sz w:val="28"/>
          <w:szCs w:val="28"/>
          <w:highlight w:val="none"/>
          <w:lang w:val="en-US" w:eastAsia="zh-CN"/>
        </w:rPr>
        <w:t>于</w:t>
      </w:r>
      <w:r>
        <w:rPr>
          <w:rFonts w:hint="default" w:ascii="Times New Roman" w:hAnsi="Times New Roman" w:cs="Times New Roman"/>
          <w:sz w:val="28"/>
          <w:szCs w:val="28"/>
          <w:highlight w:val="none"/>
          <w:lang w:eastAsia="zh-CN"/>
        </w:rPr>
        <w:t>2016</w:t>
      </w:r>
      <w:r>
        <w:rPr>
          <w:rFonts w:hint="eastAsia" w:ascii="Times New Roman" w:hAnsi="Times New Roman" w:cs="Times New Roman"/>
          <w:sz w:val="28"/>
          <w:szCs w:val="28"/>
          <w:highlight w:val="none"/>
          <w:lang w:val="en-US" w:eastAsia="zh-CN"/>
        </w:rPr>
        <w:t>年</w:t>
      </w:r>
      <w:r>
        <w:rPr>
          <w:rFonts w:hint="default" w:ascii="Times New Roman" w:hAnsi="Times New Roman" w:cs="Times New Roman"/>
          <w:sz w:val="28"/>
          <w:szCs w:val="28"/>
          <w:highlight w:val="none"/>
          <w:lang w:eastAsia="zh-CN"/>
        </w:rPr>
        <w:t>9</w:t>
      </w:r>
      <w:r>
        <w:rPr>
          <w:rFonts w:hint="eastAsia" w:ascii="Times New Roman" w:hAnsi="Times New Roman" w:cs="Times New Roman"/>
          <w:sz w:val="28"/>
          <w:szCs w:val="28"/>
          <w:highlight w:val="none"/>
          <w:lang w:val="en-US" w:eastAsia="zh-CN"/>
        </w:rPr>
        <w:t>月</w:t>
      </w:r>
      <w:r>
        <w:rPr>
          <w:rFonts w:hint="default" w:ascii="Times New Roman" w:hAnsi="Times New Roman" w:cs="Times New Roman"/>
          <w:sz w:val="28"/>
          <w:szCs w:val="28"/>
          <w:highlight w:val="none"/>
          <w:lang w:eastAsia="zh-CN"/>
        </w:rPr>
        <w:t>20</w:t>
      </w:r>
      <w:r>
        <w:rPr>
          <w:rFonts w:hint="eastAsia" w:ascii="Times New Roman" w:hAnsi="Times New Roman" w:cs="Times New Roman"/>
          <w:sz w:val="28"/>
          <w:szCs w:val="28"/>
          <w:highlight w:val="none"/>
          <w:lang w:val="en-US" w:eastAsia="zh-CN"/>
        </w:rPr>
        <w:t>日完成并</w:t>
      </w:r>
      <w:r>
        <w:rPr>
          <w:rFonts w:hint="default" w:ascii="Times New Roman" w:hAnsi="Times New Roman" w:cs="Times New Roman"/>
          <w:sz w:val="28"/>
          <w:szCs w:val="28"/>
          <w:highlight w:val="none"/>
          <w:lang w:eastAsia="zh-CN"/>
        </w:rPr>
        <w:t>实施</w:t>
      </w:r>
      <w:r>
        <w:rPr>
          <w:rFonts w:hint="eastAsia" w:ascii="Times New Roman" w:hAnsi="Times New Roman" w:eastAsia="宋体" w:cs="Times New Roman"/>
          <w:i w:val="0"/>
          <w:iCs w:val="0"/>
          <w:sz w:val="28"/>
          <w:szCs w:val="28"/>
          <w:u w:val="none"/>
          <w:lang w:val="en-US" w:eastAsia="zh-CN"/>
        </w:rPr>
        <w:t>，</w:t>
      </w:r>
      <w:r>
        <w:rPr>
          <w:rFonts w:hint="eastAsia" w:ascii="Times New Roman" w:hAnsi="Times New Roman" w:cs="Times New Roman"/>
          <w:sz w:val="28"/>
          <w:szCs w:val="28"/>
          <w:highlight w:val="none"/>
          <w:lang w:eastAsia="zh-CN"/>
        </w:rPr>
        <w:t>预案编号：HNEC/JJKJ-03</w:t>
      </w:r>
      <w:r>
        <w:rPr>
          <w:rFonts w:hint="default" w:ascii="Times New Roman" w:hAnsi="Times New Roman" w:cs="Times New Roman"/>
          <w:sz w:val="28"/>
          <w:szCs w:val="28"/>
          <w:highlight w:val="none"/>
        </w:rPr>
        <w:t>。</w:t>
      </w:r>
      <w:r>
        <w:rPr>
          <w:rFonts w:hint="eastAsia" w:ascii="Times New Roman" w:hAnsi="Times New Roman" w:cs="Times New Roman"/>
          <w:sz w:val="28"/>
          <w:szCs w:val="28"/>
          <w:highlight w:val="none"/>
          <w:lang w:val="en-US" w:eastAsia="zh-CN"/>
        </w:rPr>
        <w:t>安阳九久化学科技有限公司于2020年08月18日</w:t>
      </w:r>
      <w:r>
        <w:rPr>
          <w:rFonts w:hint="default" w:ascii="Times New Roman" w:hAnsi="Times New Roman" w:cs="Times New Roman"/>
          <w:sz w:val="28"/>
          <w:szCs w:val="28"/>
          <w:highlight w:val="none"/>
          <w:lang w:val="en-US" w:eastAsia="zh-CN"/>
        </w:rPr>
        <w:t>取得排污许可证（证书编号：91410500067570737P001V）</w:t>
      </w:r>
      <w:r>
        <w:rPr>
          <w:rFonts w:hint="default" w:ascii="Times New Roman" w:hAnsi="Times New Roman" w:cs="Times New Roman"/>
          <w:sz w:val="28"/>
          <w:szCs w:val="28"/>
          <w:highlight w:val="none"/>
        </w:rPr>
        <w:t>。</w:t>
      </w:r>
    </w:p>
    <w:p>
      <w:pPr>
        <w:pStyle w:val="4"/>
        <w:keepNext w:val="0"/>
        <w:keepLines w:val="0"/>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项目主</w:t>
      </w:r>
      <w:r>
        <w:rPr>
          <w:rFonts w:hint="eastAsia" w:ascii="Times New Roman" w:hAnsi="Times New Roman" w:eastAsia="宋体" w:cs="Times New Roman"/>
          <w:sz w:val="28"/>
          <w:szCs w:val="28"/>
          <w:highlight w:val="none"/>
          <w:lang w:val="en-US" w:eastAsia="zh-CN" w:bidi="ar-SA"/>
        </w:rPr>
        <w:t>要建设内容见</w:t>
      </w:r>
      <w:r>
        <w:rPr>
          <w:rFonts w:hint="default" w:ascii="Times New Roman" w:hAnsi="Times New Roman" w:eastAsia="宋体" w:cs="Times New Roman"/>
          <w:sz w:val="28"/>
          <w:szCs w:val="28"/>
          <w:highlight w:val="none"/>
          <w:lang w:val="en-US" w:eastAsia="zh-CN" w:bidi="ar-SA"/>
        </w:rPr>
        <w:t>表2-2</w:t>
      </w:r>
      <w:r>
        <w:rPr>
          <w:rFonts w:hint="eastAsia" w:ascii="Times New Roman" w:hAnsi="Times New Roman" w:eastAsia="宋体" w:cs="Times New Roman"/>
          <w:sz w:val="28"/>
          <w:szCs w:val="28"/>
          <w:highlight w:val="none"/>
          <w:lang w:val="en-US" w:eastAsia="zh-CN" w:bidi="ar-SA"/>
        </w:rPr>
        <w:t>,主要设备见2-3至2-6。</w:t>
      </w:r>
    </w:p>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spacing w:val="-5"/>
          <w:sz w:val="24"/>
          <w:highlight w:val="yellow"/>
          <w:lang w:val="en-US" w:eastAsia="zh-CN"/>
        </w:rPr>
      </w:pPr>
      <w:r>
        <w:rPr>
          <w:rFonts w:hint="default" w:ascii="Times New Roman" w:hAnsi="Times New Roman" w:eastAsia="宋体" w:cs="Times New Roman"/>
          <w:b/>
          <w:spacing w:val="-5"/>
          <w:sz w:val="24"/>
          <w:highlight w:val="none"/>
        </w:rPr>
        <w:t>表</w:t>
      </w:r>
      <w:r>
        <w:rPr>
          <w:rFonts w:hint="default" w:ascii="Times New Roman" w:hAnsi="Times New Roman" w:cs="Times New Roman"/>
          <w:b/>
          <w:spacing w:val="-5"/>
          <w:sz w:val="24"/>
          <w:highlight w:val="none"/>
          <w:lang w:val="en-US" w:eastAsia="zh-CN"/>
        </w:rPr>
        <w:t>2-2</w:t>
      </w:r>
      <w:r>
        <w:rPr>
          <w:rFonts w:hint="default" w:ascii="Times New Roman" w:hAnsi="Times New Roman" w:eastAsia="宋体" w:cs="Times New Roman"/>
          <w:b/>
          <w:spacing w:val="-5"/>
          <w:sz w:val="24"/>
          <w:highlight w:val="none"/>
        </w:rPr>
        <w:tab/>
      </w:r>
      <w:r>
        <w:rPr>
          <w:rFonts w:hint="eastAsia" w:cs="Times New Roman"/>
          <w:b/>
          <w:spacing w:val="-5"/>
          <w:sz w:val="24"/>
          <w:highlight w:val="none"/>
          <w:lang w:val="en-US" w:eastAsia="zh-CN"/>
        </w:rPr>
        <w:t>项目</w:t>
      </w:r>
      <w:r>
        <w:rPr>
          <w:rFonts w:hint="default" w:ascii="Times New Roman" w:hAnsi="Times New Roman" w:eastAsia="宋体" w:cs="Times New Roman"/>
          <w:b/>
          <w:spacing w:val="-5"/>
          <w:sz w:val="24"/>
          <w:highlight w:val="none"/>
        </w:rPr>
        <w:t>主要</w:t>
      </w:r>
      <w:r>
        <w:rPr>
          <w:rFonts w:hint="default" w:ascii="Times New Roman" w:hAnsi="Times New Roman" w:cs="Times New Roman"/>
          <w:b/>
          <w:spacing w:val="-5"/>
          <w:sz w:val="24"/>
          <w:highlight w:val="none"/>
          <w:lang w:val="en-US" w:eastAsia="zh-CN"/>
        </w:rPr>
        <w:t>建设内容</w:t>
      </w:r>
      <w:r>
        <w:rPr>
          <w:rFonts w:hint="default" w:ascii="Times New Roman" w:hAnsi="Times New Roman" w:eastAsia="宋体" w:cs="Times New Roman"/>
          <w:b/>
          <w:spacing w:val="-5"/>
          <w:sz w:val="24"/>
          <w:highlight w:val="none"/>
        </w:rPr>
        <w:t>一览表</w:t>
      </w:r>
    </w:p>
    <w:tbl>
      <w:tblPr>
        <w:tblStyle w:val="21"/>
        <w:tblW w:w="9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687"/>
        <w:gridCol w:w="984"/>
        <w:gridCol w:w="6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68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73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1</w:t>
            </w:r>
          </w:p>
        </w:tc>
        <w:tc>
          <w:tcPr>
            <w:tcW w:w="168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主体工程</w:t>
            </w:r>
          </w:p>
        </w:tc>
        <w:tc>
          <w:tcPr>
            <w:tcW w:w="73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焦亚硫酸钠、液体二氧化碳和保险粉生产装置及原料罐区、库房和产品库房。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w:t>
            </w:r>
          </w:p>
        </w:tc>
        <w:tc>
          <w:tcPr>
            <w:tcW w:w="168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公用工程</w:t>
            </w:r>
          </w:p>
        </w:tc>
        <w:tc>
          <w:tcPr>
            <w:tcW w:w="98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pacing w:val="-8"/>
                <w:sz w:val="21"/>
                <w:szCs w:val="21"/>
              </w:rPr>
            </w:pPr>
            <w:r>
              <w:rPr>
                <w:rFonts w:hint="default" w:ascii="Times New Roman" w:hAnsi="Times New Roman" w:cs="Times New Roman"/>
                <w:color w:val="000000"/>
                <w:spacing w:val="-8"/>
                <w:sz w:val="21"/>
                <w:szCs w:val="21"/>
              </w:rPr>
              <w:t>水</w:t>
            </w:r>
          </w:p>
        </w:tc>
        <w:tc>
          <w:tcPr>
            <w:tcW w:w="63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pacing w:val="-8"/>
                <w:sz w:val="21"/>
                <w:szCs w:val="21"/>
              </w:rPr>
            </w:pPr>
            <w:r>
              <w:rPr>
                <w:rFonts w:hint="default" w:ascii="Times New Roman" w:hAnsi="Times New Roman" w:cs="Times New Roman"/>
                <w:color w:val="000000"/>
                <w:sz w:val="21"/>
                <w:szCs w:val="21"/>
              </w:rPr>
              <w:t>①一次水：来自安化，管道敷设到用水点。②冷却循环水：焦亚、保险粉装置区建一套5000m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/h冷却循环水装置。③脱盐水：来自安化，管道敷设到用水点。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0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FF0000"/>
                <w:sz w:val="21"/>
                <w:szCs w:val="21"/>
              </w:rPr>
            </w:pPr>
          </w:p>
        </w:tc>
        <w:tc>
          <w:tcPr>
            <w:tcW w:w="16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FF0000"/>
                <w:sz w:val="21"/>
                <w:szCs w:val="21"/>
              </w:rPr>
            </w:pPr>
          </w:p>
        </w:tc>
        <w:tc>
          <w:tcPr>
            <w:tcW w:w="98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电</w:t>
            </w:r>
          </w:p>
        </w:tc>
        <w:tc>
          <w:tcPr>
            <w:tcW w:w="63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工程用电依托安化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FF0000"/>
                <w:sz w:val="21"/>
                <w:szCs w:val="21"/>
              </w:rPr>
            </w:pPr>
          </w:p>
        </w:tc>
        <w:tc>
          <w:tcPr>
            <w:tcW w:w="16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FF0000"/>
                <w:sz w:val="21"/>
                <w:szCs w:val="21"/>
              </w:rPr>
            </w:pPr>
          </w:p>
        </w:tc>
        <w:tc>
          <w:tcPr>
            <w:tcW w:w="98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汽</w:t>
            </w:r>
          </w:p>
        </w:tc>
        <w:tc>
          <w:tcPr>
            <w:tcW w:w="6364"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项目蒸汽总用量29.1t/h，其中15.9 t/h由安化提供，13.2 t/h来自项目废热锅炉。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cs="Times New Roman"/>
                <w:color w:val="000000"/>
                <w:sz w:val="21"/>
                <w:szCs w:val="21"/>
                <w:lang w:val="en-US" w:eastAsia="zh-CN"/>
              </w:rPr>
              <w:t>3</w:t>
            </w:r>
          </w:p>
        </w:tc>
        <w:tc>
          <w:tcPr>
            <w:tcW w:w="168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储运装置</w:t>
            </w:r>
          </w:p>
        </w:tc>
        <w:tc>
          <w:tcPr>
            <w:tcW w:w="73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yellow"/>
              </w:rPr>
            </w:pPr>
            <w:r>
              <w:rPr>
                <w:rFonts w:hint="default" w:ascii="Times New Roman" w:hAnsi="Times New Roman" w:cs="Times New Roman"/>
                <w:color w:val="000000"/>
                <w:kern w:val="0"/>
                <w:sz w:val="21"/>
                <w:szCs w:val="21"/>
              </w:rPr>
              <w:t>2个220m</w:t>
            </w:r>
            <w:r>
              <w:rPr>
                <w:rFonts w:hint="default" w:ascii="Times New Roman" w:hAnsi="Times New Roman" w:cs="Times New Roman"/>
                <w:color w:val="000000"/>
                <w:kern w:val="0"/>
                <w:sz w:val="21"/>
                <w:szCs w:val="21"/>
                <w:vertAlign w:val="superscript"/>
              </w:rPr>
              <w:t>3</w:t>
            </w:r>
            <w:r>
              <w:rPr>
                <w:rFonts w:hint="default" w:ascii="Times New Roman" w:hAnsi="Times New Roman" w:cs="Times New Roman"/>
                <w:color w:val="000000"/>
                <w:kern w:val="0"/>
                <w:sz w:val="21"/>
                <w:szCs w:val="21"/>
              </w:rPr>
              <w:t>甲醇贮罐，4个</w:t>
            </w:r>
            <w:r>
              <w:rPr>
                <w:rFonts w:hint="default" w:ascii="Times New Roman" w:hAnsi="Times New Roman" w:cs="Times New Roman"/>
                <w:color w:val="000000"/>
                <w:sz w:val="21"/>
                <w:szCs w:val="21"/>
              </w:rPr>
              <w:t>50m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环氧乙烷储罐，4个50m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液体二氧化硫储罐，1个</w:t>
            </w:r>
            <w:r>
              <w:rPr>
                <w:rFonts w:hint="default" w:ascii="Times New Roman" w:hAnsi="Times New Roman" w:cs="Times New Roman"/>
                <w:color w:val="000000"/>
                <w:kern w:val="0"/>
                <w:sz w:val="21"/>
                <w:szCs w:val="21"/>
              </w:rPr>
              <w:t>900m</w:t>
            </w:r>
            <w:r>
              <w:rPr>
                <w:rFonts w:hint="default" w:ascii="Times New Roman" w:hAnsi="Times New Roman" w:cs="Times New Roman"/>
                <w:color w:val="000000"/>
                <w:kern w:val="0"/>
                <w:sz w:val="21"/>
                <w:szCs w:val="21"/>
                <w:vertAlign w:val="superscript"/>
              </w:rPr>
              <w:t>3</w:t>
            </w:r>
            <w:r>
              <w:rPr>
                <w:rFonts w:hint="default" w:ascii="Times New Roman" w:hAnsi="Times New Roman" w:cs="Times New Roman"/>
                <w:color w:val="000000"/>
                <w:kern w:val="0"/>
                <w:sz w:val="21"/>
                <w:szCs w:val="21"/>
              </w:rPr>
              <w:t>、2个220m</w:t>
            </w:r>
            <w:r>
              <w:rPr>
                <w:rFonts w:hint="default" w:ascii="Times New Roman" w:hAnsi="Times New Roman" w:cs="Times New Roman"/>
                <w:color w:val="000000"/>
                <w:kern w:val="0"/>
                <w:sz w:val="21"/>
                <w:szCs w:val="21"/>
                <w:vertAlign w:val="superscript"/>
              </w:rPr>
              <w:t>3</w:t>
            </w:r>
            <w:r>
              <w:rPr>
                <w:rFonts w:hint="default" w:ascii="Times New Roman" w:hAnsi="Times New Roman" w:cs="Times New Roman"/>
                <w:color w:val="000000"/>
                <w:kern w:val="0"/>
                <w:sz w:val="21"/>
                <w:szCs w:val="21"/>
              </w:rPr>
              <w:t>烧碱储罐，1个</w:t>
            </w:r>
            <w:r>
              <w:rPr>
                <w:rFonts w:hint="default" w:ascii="Times New Roman" w:hAnsi="Times New Roman" w:cs="Times New Roman"/>
                <w:color w:val="000000"/>
                <w:sz w:val="21"/>
                <w:szCs w:val="21"/>
              </w:rPr>
              <w:t>25</w:t>
            </w:r>
            <w:r>
              <w:rPr>
                <w:rFonts w:hint="default" w:ascii="Times New Roman" w:hAnsi="Times New Roman" w:cs="Times New Roman"/>
                <w:color w:val="000000"/>
                <w:kern w:val="0"/>
                <w:sz w:val="21"/>
                <w:szCs w:val="21"/>
              </w:rPr>
              <w:t xml:space="preserve"> m</w:t>
            </w:r>
            <w:r>
              <w:rPr>
                <w:rFonts w:hint="default" w:ascii="Times New Roman" w:hAnsi="Times New Roman" w:cs="Times New Roman"/>
                <w:color w:val="000000"/>
                <w:kern w:val="0"/>
                <w:sz w:val="21"/>
                <w:szCs w:val="21"/>
                <w:vertAlign w:val="superscript"/>
              </w:rPr>
              <w:t>3</w:t>
            </w:r>
            <w:r>
              <w:rPr>
                <w:rFonts w:hint="default" w:ascii="Times New Roman" w:hAnsi="Times New Roman" w:cs="Times New Roman"/>
                <w:color w:val="000000"/>
                <w:sz w:val="21"/>
                <w:szCs w:val="21"/>
              </w:rPr>
              <w:t>液氨储罐，5个保险粉仓库（利用2个，剩余3个作为污水处理药剂库房和废品库）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4</w:t>
            </w:r>
          </w:p>
        </w:tc>
        <w:tc>
          <w:tcPr>
            <w:tcW w:w="168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环保工程</w:t>
            </w:r>
          </w:p>
        </w:tc>
        <w:tc>
          <w:tcPr>
            <w:tcW w:w="73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设置水吸收或碱吸收装置处理工艺尾气，经处理的工艺尾气排至安化锅炉焚烧处理、高空排放。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0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p>
        </w:tc>
        <w:tc>
          <w:tcPr>
            <w:tcW w:w="16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p>
        </w:tc>
        <w:tc>
          <w:tcPr>
            <w:tcW w:w="73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工程建一套污水处理装置，处理产生的污水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9"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5</w:t>
            </w:r>
          </w:p>
        </w:tc>
        <w:tc>
          <w:tcPr>
            <w:tcW w:w="168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排水去向</w:t>
            </w:r>
          </w:p>
        </w:tc>
        <w:tc>
          <w:tcPr>
            <w:tcW w:w="73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项目自建一套污水处理装置，工程废水经处理后，排入安化污水处理终端进一步处理，达标排放。</w:t>
            </w:r>
          </w:p>
        </w:tc>
      </w:tr>
    </w:tbl>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spacing w:val="-5"/>
          <w:sz w:val="24"/>
          <w:highlight w:val="yellow"/>
          <w:lang w:val="en-US" w:eastAsia="zh-CN"/>
        </w:rPr>
      </w:pPr>
      <w:r>
        <w:rPr>
          <w:rFonts w:hint="eastAsia" w:cs="Times New Roman"/>
          <w:b/>
          <w:spacing w:val="-5"/>
          <w:sz w:val="24"/>
          <w:highlight w:val="none"/>
          <w:lang w:val="en-US" w:eastAsia="zh-CN"/>
        </w:rPr>
        <w:t>续</w:t>
      </w:r>
      <w:r>
        <w:rPr>
          <w:rFonts w:hint="default" w:ascii="Times New Roman" w:hAnsi="Times New Roman" w:eastAsia="宋体" w:cs="Times New Roman"/>
          <w:b/>
          <w:spacing w:val="-5"/>
          <w:sz w:val="24"/>
          <w:highlight w:val="none"/>
        </w:rPr>
        <w:t>表</w:t>
      </w:r>
      <w:r>
        <w:rPr>
          <w:rFonts w:hint="default" w:ascii="Times New Roman" w:hAnsi="Times New Roman" w:cs="Times New Roman"/>
          <w:b/>
          <w:spacing w:val="-5"/>
          <w:sz w:val="24"/>
          <w:highlight w:val="none"/>
          <w:lang w:val="en-US" w:eastAsia="zh-CN"/>
        </w:rPr>
        <w:t>2-2</w:t>
      </w:r>
      <w:r>
        <w:rPr>
          <w:rFonts w:hint="default" w:ascii="Times New Roman" w:hAnsi="Times New Roman" w:eastAsia="宋体" w:cs="Times New Roman"/>
          <w:b/>
          <w:spacing w:val="-5"/>
          <w:sz w:val="24"/>
          <w:highlight w:val="none"/>
        </w:rPr>
        <w:tab/>
      </w:r>
      <w:r>
        <w:rPr>
          <w:rFonts w:hint="eastAsia" w:cs="Times New Roman"/>
          <w:b/>
          <w:spacing w:val="-5"/>
          <w:sz w:val="24"/>
          <w:highlight w:val="none"/>
          <w:lang w:val="en-US" w:eastAsia="zh-CN"/>
        </w:rPr>
        <w:t>项目</w:t>
      </w:r>
      <w:r>
        <w:rPr>
          <w:rFonts w:hint="default" w:ascii="Times New Roman" w:hAnsi="Times New Roman" w:eastAsia="宋体" w:cs="Times New Roman"/>
          <w:b/>
          <w:spacing w:val="-5"/>
          <w:sz w:val="24"/>
          <w:highlight w:val="none"/>
        </w:rPr>
        <w:t>主要</w:t>
      </w:r>
      <w:r>
        <w:rPr>
          <w:rFonts w:hint="default" w:ascii="Times New Roman" w:hAnsi="Times New Roman" w:cs="Times New Roman"/>
          <w:b/>
          <w:spacing w:val="-5"/>
          <w:sz w:val="24"/>
          <w:highlight w:val="none"/>
          <w:lang w:val="en-US" w:eastAsia="zh-CN"/>
        </w:rPr>
        <w:t>建设内容</w:t>
      </w:r>
      <w:r>
        <w:rPr>
          <w:rFonts w:hint="default" w:ascii="Times New Roman" w:hAnsi="Times New Roman" w:eastAsia="宋体" w:cs="Times New Roman"/>
          <w:b/>
          <w:spacing w:val="-5"/>
          <w:sz w:val="24"/>
          <w:highlight w:val="none"/>
        </w:rPr>
        <w:t>一览表</w:t>
      </w:r>
    </w:p>
    <w:tbl>
      <w:tblPr>
        <w:tblStyle w:val="21"/>
        <w:tblW w:w="5031"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617"/>
        <w:gridCol w:w="8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829" w:type="pct"/>
            <w:tcBorders>
              <w:right w:val="single" w:color="000000"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装置区</w:t>
            </w:r>
          </w:p>
        </w:tc>
        <w:tc>
          <w:tcPr>
            <w:tcW w:w="4170" w:type="pct"/>
            <w:tcBorders>
              <w:left w:val="single" w:color="000000" w:sz="4" w:space="0"/>
              <w:right w:val="single" w:color="auto" w:sz="4" w:space="0"/>
            </w:tcBorders>
            <w:noWrap w:val="0"/>
            <w:vAlign w:val="center"/>
          </w:tcPr>
          <w:p>
            <w:pPr>
              <w:widowControl w:val="0"/>
              <w:spacing w:line="360" w:lineRule="exact"/>
              <w:ind w:firstLine="420" w:firstLineChars="20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主要内容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829" w:type="pct"/>
            <w:tcBorders>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液体二氧化硫装置区</w:t>
            </w:r>
          </w:p>
        </w:tc>
        <w:tc>
          <w:tcPr>
            <w:tcW w:w="4170" w:type="pct"/>
            <w:tcBorders>
              <w:left w:val="single" w:color="auto" w:sz="4" w:space="0"/>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建设1条150t/d液体二氧化硫生产线，主要包括焚硫净化装置（框架）1座、熔硫池1座、硫磺仓库2座、空气压缩净化及二氧化硫冷凝车间1座、液体二氧化硫罐区（50m</w:t>
            </w:r>
            <w:r>
              <w:rPr>
                <w:rFonts w:hint="default" w:ascii="Times New Roman" w:hAnsi="Times New Roman" w:eastAsia="宋体" w:cs="Times New Roman"/>
                <w:bCs/>
                <w:kern w:val="2"/>
                <w:sz w:val="21"/>
                <w:szCs w:val="21"/>
                <w:vertAlign w:val="superscript"/>
                <w:lang w:val="en-US" w:eastAsia="zh-CN" w:bidi="ar-SA"/>
              </w:rPr>
              <w:t>3</w:t>
            </w:r>
            <w:r>
              <w:rPr>
                <w:rFonts w:hint="default" w:ascii="Times New Roman" w:hAnsi="Times New Roman" w:eastAsia="宋体" w:cs="Times New Roman"/>
                <w:bCs/>
                <w:kern w:val="2"/>
                <w:sz w:val="21"/>
                <w:szCs w:val="21"/>
                <w:lang w:val="en-US" w:eastAsia="zh-CN" w:bidi="ar-SA"/>
              </w:rPr>
              <w:t>二氧化硫卧罐4个）、硫酸罐区（含90m</w:t>
            </w:r>
            <w:r>
              <w:rPr>
                <w:rFonts w:hint="default" w:ascii="Times New Roman" w:hAnsi="Times New Roman" w:eastAsia="宋体" w:cs="Times New Roman"/>
                <w:bCs/>
                <w:kern w:val="2"/>
                <w:sz w:val="21"/>
                <w:szCs w:val="21"/>
                <w:vertAlign w:val="superscript"/>
                <w:lang w:val="en-US" w:eastAsia="zh-CN" w:bidi="ar-SA"/>
              </w:rPr>
              <w:t>3</w:t>
            </w:r>
            <w:r>
              <w:rPr>
                <w:rFonts w:hint="default" w:ascii="Times New Roman" w:hAnsi="Times New Roman" w:eastAsia="宋体" w:cs="Times New Roman"/>
                <w:bCs/>
                <w:kern w:val="2"/>
                <w:sz w:val="21"/>
                <w:szCs w:val="21"/>
                <w:lang w:val="en-US" w:eastAsia="zh-CN" w:bidi="ar-SA"/>
              </w:rPr>
              <w:t>硫酸立罐一个，15m</w:t>
            </w:r>
            <w:r>
              <w:rPr>
                <w:rFonts w:hint="default" w:ascii="Times New Roman" w:hAnsi="Times New Roman" w:eastAsia="宋体" w:cs="Times New Roman"/>
                <w:bCs/>
                <w:kern w:val="2"/>
                <w:sz w:val="21"/>
                <w:szCs w:val="21"/>
                <w:vertAlign w:val="superscript"/>
                <w:lang w:val="en-US" w:eastAsia="zh-CN" w:bidi="ar-SA"/>
              </w:rPr>
              <w:t>3</w:t>
            </w:r>
            <w:r>
              <w:rPr>
                <w:rFonts w:hint="default" w:ascii="Times New Roman" w:hAnsi="Times New Roman" w:eastAsia="宋体" w:cs="Times New Roman"/>
                <w:bCs/>
                <w:kern w:val="2"/>
                <w:sz w:val="21"/>
                <w:szCs w:val="21"/>
                <w:lang w:val="en-US" w:eastAsia="zh-CN" w:bidi="ar-SA"/>
              </w:rPr>
              <w:t>硫酸卧罐2个）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829" w:type="pct"/>
            <w:tcBorders>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焦亚硫酸钠装置区</w:t>
            </w:r>
          </w:p>
        </w:tc>
        <w:tc>
          <w:tcPr>
            <w:tcW w:w="4170" w:type="pct"/>
            <w:tcBorders>
              <w:left w:val="single" w:color="auto" w:sz="4" w:space="0"/>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建设1条150t/d焦亚硫酸钠生产线，主要包括焦亚硫酸钠合成（含干燥）装置（框架）1座、纯碱仓库1座、焦亚硫酸钠仓库1座、合成尾气吸收塔2座、干燥尾气吸收塔2座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829" w:type="pct"/>
            <w:tcBorders>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保险粉装置区</w:t>
            </w:r>
          </w:p>
        </w:tc>
        <w:tc>
          <w:tcPr>
            <w:tcW w:w="4170" w:type="pct"/>
            <w:tcBorders>
              <w:left w:val="single" w:color="auto" w:sz="4" w:space="0"/>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color w:val="FF0000"/>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建设2条166.7t/d保险粉生产线、2条16.7t/d亚硫酸钠生产线，主要包括保险粉合成车间2座、中间罐区2个、包装车间1座、精馏装置（框架）1座、综合原料仓库1座、保险粉仓库5座、甲醇/环氧乙烷综合罐区（含220m</w:t>
            </w:r>
            <w:r>
              <w:rPr>
                <w:rFonts w:hint="default" w:ascii="Times New Roman" w:hAnsi="Times New Roman" w:eastAsia="宋体" w:cs="Times New Roman"/>
                <w:bCs/>
                <w:kern w:val="2"/>
                <w:sz w:val="21"/>
                <w:szCs w:val="21"/>
                <w:vertAlign w:val="superscript"/>
                <w:lang w:val="en-US" w:eastAsia="zh-CN" w:bidi="ar-SA"/>
              </w:rPr>
              <w:t>3</w:t>
            </w:r>
            <w:r>
              <w:rPr>
                <w:rFonts w:hint="default" w:ascii="Times New Roman" w:hAnsi="Times New Roman" w:eastAsia="宋体" w:cs="Times New Roman"/>
                <w:bCs/>
                <w:kern w:val="2"/>
                <w:sz w:val="21"/>
                <w:szCs w:val="21"/>
                <w:lang w:val="en-US" w:eastAsia="zh-CN" w:bidi="ar-SA"/>
              </w:rPr>
              <w:t>甲醇立罐2个，220m</w:t>
            </w:r>
            <w:r>
              <w:rPr>
                <w:rFonts w:hint="default" w:ascii="Times New Roman" w:hAnsi="Times New Roman" w:eastAsia="宋体" w:cs="Times New Roman"/>
                <w:bCs/>
                <w:kern w:val="2"/>
                <w:sz w:val="21"/>
                <w:szCs w:val="21"/>
                <w:vertAlign w:val="superscript"/>
                <w:lang w:val="en-US" w:eastAsia="zh-CN" w:bidi="ar-SA"/>
              </w:rPr>
              <w:t>3</w:t>
            </w:r>
            <w:r>
              <w:rPr>
                <w:rFonts w:hint="default" w:ascii="Times New Roman" w:hAnsi="Times New Roman" w:eastAsia="宋体" w:cs="Times New Roman"/>
                <w:bCs/>
                <w:kern w:val="2"/>
                <w:sz w:val="21"/>
                <w:szCs w:val="21"/>
                <w:lang w:val="en-US" w:eastAsia="zh-CN" w:bidi="ar-SA"/>
              </w:rPr>
              <w:t>烧碱罐立罐2个，50m</w:t>
            </w:r>
            <w:r>
              <w:rPr>
                <w:rFonts w:hint="default" w:ascii="Times New Roman" w:hAnsi="Times New Roman" w:eastAsia="宋体" w:cs="Times New Roman"/>
                <w:bCs/>
                <w:kern w:val="2"/>
                <w:sz w:val="21"/>
                <w:szCs w:val="21"/>
                <w:vertAlign w:val="superscript"/>
                <w:lang w:val="en-US" w:eastAsia="zh-CN" w:bidi="ar-SA"/>
              </w:rPr>
              <w:t>3</w:t>
            </w:r>
            <w:r>
              <w:rPr>
                <w:rFonts w:hint="default" w:ascii="Times New Roman" w:hAnsi="Times New Roman" w:eastAsia="宋体" w:cs="Times New Roman"/>
                <w:bCs/>
                <w:kern w:val="2"/>
                <w:sz w:val="21"/>
                <w:szCs w:val="21"/>
                <w:lang w:val="en-US" w:eastAsia="zh-CN" w:bidi="ar-SA"/>
              </w:rPr>
              <w:t>环氧乙烷卧罐4个）、冷冻压缩机房1座，真空尾气、干燥尾气、合成尾气处理装置各2套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829" w:type="pct"/>
            <w:tcBorders>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污水处理站</w:t>
            </w:r>
          </w:p>
        </w:tc>
        <w:tc>
          <w:tcPr>
            <w:tcW w:w="4170" w:type="pct"/>
            <w:tcBorders>
              <w:left w:val="single" w:color="auto" w:sz="4" w:space="0"/>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1座480m</w:t>
            </w:r>
            <w:r>
              <w:rPr>
                <w:rFonts w:hint="default" w:ascii="Times New Roman" w:hAnsi="Times New Roman" w:eastAsia="宋体" w:cs="Times New Roman"/>
                <w:bCs/>
                <w:kern w:val="2"/>
                <w:sz w:val="21"/>
                <w:szCs w:val="21"/>
                <w:vertAlign w:val="superscript"/>
                <w:lang w:val="en-US" w:eastAsia="zh-CN" w:bidi="ar-SA"/>
              </w:rPr>
              <w:t>3</w:t>
            </w:r>
            <w:r>
              <w:rPr>
                <w:rFonts w:hint="default" w:ascii="Times New Roman" w:hAnsi="Times New Roman" w:eastAsia="宋体" w:cs="Times New Roman"/>
                <w:bCs/>
                <w:kern w:val="2"/>
                <w:sz w:val="21"/>
                <w:szCs w:val="21"/>
                <w:lang w:val="en-US" w:eastAsia="zh-CN" w:bidi="ar-SA"/>
              </w:rPr>
              <w:t>/d污水处理装置，</w:t>
            </w:r>
            <w:r>
              <w:rPr>
                <w:rFonts w:hint="default" w:ascii="Times New Roman" w:hAnsi="Times New Roman" w:eastAsia="宋体" w:cs="Times New Roman"/>
                <w:color w:val="000000"/>
                <w:kern w:val="2"/>
                <w:sz w:val="21"/>
                <w:szCs w:val="21"/>
                <w:lang w:val="en-US" w:eastAsia="zh-CN" w:bidi="ar-SA"/>
              </w:rPr>
              <w:t>采用氧化+微电解+混凝沉淀+脱硫进行预处理后，再采用厌氧+缺氧+好氧+二沉+生物活性炭滤池处理工艺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25" w:hRule="atLeast"/>
          <w:jc w:val="center"/>
        </w:trPr>
        <w:tc>
          <w:tcPr>
            <w:tcW w:w="829" w:type="pct"/>
            <w:tcBorders>
              <w:right w:val="single" w:color="auto" w:sz="4" w:space="0"/>
            </w:tcBorders>
            <w:noWrap w:val="0"/>
            <w:vAlign w:val="center"/>
          </w:tcPr>
          <w:p>
            <w:pPr>
              <w:widowControl w:val="0"/>
              <w:spacing w:line="36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其它</w:t>
            </w:r>
          </w:p>
        </w:tc>
        <w:tc>
          <w:tcPr>
            <w:tcW w:w="4170" w:type="pct"/>
            <w:tcBorders>
              <w:left w:val="single" w:color="auto" w:sz="4" w:space="0"/>
              <w:right w:val="single" w:color="auto" w:sz="4" w:space="0"/>
            </w:tcBorders>
            <w:noWrap w:val="0"/>
            <w:vAlign w:val="center"/>
          </w:tcPr>
          <w:p>
            <w:pPr>
              <w:widowControl w:val="0"/>
              <w:spacing w:line="340" w:lineRule="exact"/>
              <w:ind w:firstLine="0" w:firstLineChars="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1座综合办公楼（3层）、冷冻压缩机房1座、冷却循环水站1座</w:t>
            </w:r>
          </w:p>
        </w:tc>
      </w:tr>
    </w:tbl>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default" w:ascii="Times New Roman" w:hAnsi="Times New Roman" w:eastAsia="宋体" w:cs="Times New Roman"/>
          <w:b/>
          <w:bCs/>
          <w:sz w:val="24"/>
          <w:lang w:val="en-US" w:eastAsia="zh-CN"/>
        </w:rPr>
        <w:t>2-4</w:t>
      </w:r>
      <w:r>
        <w:rPr>
          <w:rFonts w:hint="default" w:ascii="Times New Roman" w:hAnsi="Times New Roman" w:eastAsia="宋体" w:cs="Times New Roman"/>
          <w:b/>
          <w:bCs/>
          <w:sz w:val="24"/>
        </w:rPr>
        <w:t xml:space="preserve">           液体二氧化硫装置主要设备一览表</w:t>
      </w:r>
    </w:p>
    <w:tbl>
      <w:tblPr>
        <w:tblStyle w:val="21"/>
        <w:tblW w:w="9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842"/>
        <w:gridCol w:w="3828"/>
        <w:gridCol w:w="2126"/>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1842"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设备</w:t>
            </w:r>
          </w:p>
        </w:tc>
        <w:tc>
          <w:tcPr>
            <w:tcW w:w="3828"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规格</w:t>
            </w:r>
          </w:p>
        </w:tc>
        <w:tc>
          <w:tcPr>
            <w:tcW w:w="21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材质</w:t>
            </w:r>
          </w:p>
        </w:tc>
        <w:tc>
          <w:tcPr>
            <w:tcW w:w="1031"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数量 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液硫二级吸收塔</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内径：1400mm T/T长高：10000mm</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Q235B(内衬耐酸砖)</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液硫一级吸收塔</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内径：1400mm T/T长高：10000mm</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Q235B(内衬耐酸砖)</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液硫一废热锅炉</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型式：管壳式内径：2800mm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T/T长高：5000mm</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20g /Q345R</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kern w:val="0"/>
                <w:sz w:val="21"/>
                <w:szCs w:val="21"/>
              </w:rPr>
              <w:t>液硫二废热锅炉</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型式：管壳式,内径：1000mm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kern w:val="0"/>
                <w:sz w:val="21"/>
                <w:szCs w:val="21"/>
              </w:rPr>
              <w:t>T/T长高：5000mm,</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kern w:val="0"/>
                <w:sz w:val="21"/>
                <w:szCs w:val="21"/>
              </w:rPr>
              <w:t>20g /Q345R</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b/>
                <w:bCs/>
                <w:kern w:val="2"/>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液硫电加热器</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型式：电加热式</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1#液硫硫酸循环冷却器</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型式：板式, 换热面积：30m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w:t>
            </w:r>
          </w:p>
        </w:tc>
        <w:tc>
          <w:tcPr>
            <w:tcW w:w="2126"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哈氏C</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2#液硫硫酸循环冷却器</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型式：板式, 换热面积：30m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w:t>
            </w:r>
          </w:p>
        </w:tc>
        <w:tc>
          <w:tcPr>
            <w:tcW w:w="2126"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哈氏C</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二氧化硫回热器</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型式：管壳式，内径：800mm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T/T长高：3000mm换热面积：100m</w:t>
            </w:r>
            <w:r>
              <w:rPr>
                <w:rFonts w:hint="default" w:ascii="Times New Roman" w:hAnsi="Times New Roman" w:eastAsia="宋体" w:cs="Times New Roman"/>
                <w:kern w:val="0"/>
                <w:sz w:val="21"/>
                <w:szCs w:val="21"/>
                <w:vertAlign w:val="superscript"/>
              </w:rPr>
              <w:t>2</w:t>
            </w:r>
          </w:p>
        </w:tc>
        <w:tc>
          <w:tcPr>
            <w:tcW w:w="2126"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S30408/0Cr18Ni9</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二氧化硫冷凝器</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型式：管壳式7，内径：1000mm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T/T长高：4500mm换热面积：200m</w:t>
            </w:r>
            <w:r>
              <w:rPr>
                <w:rFonts w:hint="default" w:ascii="Times New Roman" w:hAnsi="Times New Roman" w:eastAsia="宋体" w:cs="Times New Roman"/>
                <w:kern w:val="0"/>
                <w:sz w:val="21"/>
                <w:szCs w:val="21"/>
                <w:vertAlign w:val="superscript"/>
              </w:rPr>
              <w:t>2</w:t>
            </w:r>
          </w:p>
        </w:tc>
        <w:tc>
          <w:tcPr>
            <w:tcW w:w="2126"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S30408/0Cr18Ni9</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液硫焚硫炉</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卧式,内径：4800mm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T/T长高：14000mm</w:t>
            </w:r>
          </w:p>
        </w:tc>
        <w:tc>
          <w:tcPr>
            <w:tcW w:w="2126"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Q345R</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熔硫釜</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型式：夹套式，内径：2400/2600mm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T/T长高：2500mm V=11m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液硫硫磺氧化器</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型式：夹套，内径：2000/2100mm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T/T长高：2800mm V=10m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S32168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液硫三氧化硫转化器</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14</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液硫硫磺分离罐</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  V=4.5m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氧气缓冲罐</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型式：立式，V=2m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液硫一废汽包</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型式：卧式DN1400X2500  V=5m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17</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液硫二废汽包</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型式：卧式DN1400X2500  V=5m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18</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液硫地下槽</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型式：地下钢制容器，</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19</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液硫二氧化硫气化罐</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型式：立式，DN1200X1800  V=2m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硫酸贮槽</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型式：卧式，V=15m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21</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硫酸贮罐</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型式：固定顶DN5000X4500  V=90m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22</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二氧化硫中转罐</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立式，DN1400X2200  V=4m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23</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二氧化硫储罐</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型式：卧式DN2800X7200  V=50m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24</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制冷机组</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LNVLGF234H3，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星型给料机</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35L/min</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26</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熔硫釜搅拌器</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RDF1089-00，</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27</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硫磺料斗</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型式：立式,容积：6m</w:t>
            </w:r>
            <w:r>
              <w:rPr>
                <w:rFonts w:hint="default" w:ascii="Times New Roman" w:hAnsi="Times New Roman" w:eastAsia="宋体" w:cs="Times New Roman"/>
                <w:kern w:val="0"/>
                <w:sz w:val="21"/>
                <w:szCs w:val="21"/>
                <w:vertAlign w:val="superscript"/>
              </w:rPr>
              <w:t>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103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28</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电动葫芦</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起重量：2 t，起升高度：7 m</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w:t>
            </w:r>
          </w:p>
        </w:tc>
        <w:tc>
          <w:tcPr>
            <w:tcW w:w="1031"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29</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液硫液下泵</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DGCY40-160,型式：液下泵</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/h)：8,扬程(m):18.3,</w:t>
            </w:r>
          </w:p>
        </w:tc>
        <w:tc>
          <w:tcPr>
            <w:tcW w:w="212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1031"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30</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浓硫酸泵</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65FCF-30-24/25-C1，型式：离泵设计流量（m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/h)：24，扬程(m):25，</w:t>
            </w:r>
          </w:p>
        </w:tc>
        <w:tc>
          <w:tcPr>
            <w:tcW w:w="2126"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氟塑料</w:t>
            </w:r>
          </w:p>
        </w:tc>
        <w:tc>
          <w:tcPr>
            <w:tcW w:w="1031"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31</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硫酸泵</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65FCF-30-30/18.1-C1，型式：离心泵设计流量（m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/h)：30，扬程(m):18.1，</w:t>
            </w:r>
          </w:p>
        </w:tc>
        <w:tc>
          <w:tcPr>
            <w:tcW w:w="2126"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氟塑料</w:t>
            </w:r>
          </w:p>
        </w:tc>
        <w:tc>
          <w:tcPr>
            <w:tcW w:w="1031"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32</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液体二氧化硫泵</w:t>
            </w:r>
          </w:p>
        </w:tc>
        <w:tc>
          <w:tcPr>
            <w:tcW w:w="382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R61-316H4BM-0506TS1-B-T，型式：屏蔽泵 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/h)：24，扬程(m):18.5</w:t>
            </w:r>
          </w:p>
        </w:tc>
        <w:tc>
          <w:tcPr>
            <w:tcW w:w="2126"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SUS316</w:t>
            </w:r>
          </w:p>
        </w:tc>
        <w:tc>
          <w:tcPr>
            <w:tcW w:w="1031"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w:t>
            </w:r>
          </w:p>
        </w:tc>
        <w:tc>
          <w:tcPr>
            <w:tcW w:w="184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二氧化硫中转泵</w:t>
            </w:r>
          </w:p>
        </w:tc>
        <w:tc>
          <w:tcPr>
            <w:tcW w:w="382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RWE62-416H4BM-0506T1-K-T，型式：屏蔽泵 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/h)：14，扬程(m):45，额定功率：7.5KW</w:t>
            </w:r>
          </w:p>
        </w:tc>
        <w:tc>
          <w:tcPr>
            <w:tcW w:w="2126"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031"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bl>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表2</w:t>
      </w:r>
      <w:r>
        <w:rPr>
          <w:rFonts w:hint="eastAsia" w:ascii="Times New Roman" w:hAnsi="Times New Roman" w:eastAsia="宋体" w:cs="Times New Roman"/>
          <w:b/>
          <w:bCs/>
          <w:sz w:val="24"/>
          <w:lang w:val="en-US" w:eastAsia="zh-CN"/>
        </w:rPr>
        <w:t>-5</w:t>
      </w:r>
      <w:r>
        <w:rPr>
          <w:rFonts w:hint="default" w:ascii="Times New Roman" w:hAnsi="Times New Roman" w:eastAsia="宋体" w:cs="Times New Roman"/>
          <w:b/>
          <w:bCs/>
          <w:sz w:val="24"/>
        </w:rPr>
        <w:t xml:space="preserve">              焦亚硫酸钠装置主要设备一览表</w:t>
      </w:r>
    </w:p>
    <w:tbl>
      <w:tblPr>
        <w:tblStyle w:val="21"/>
        <w:tblW w:w="0" w:type="auto"/>
        <w:jc w:val="center"/>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Layout w:type="fixed"/>
        <w:tblCellMar>
          <w:top w:w="0" w:type="dxa"/>
          <w:left w:w="108" w:type="dxa"/>
          <w:bottom w:w="0" w:type="dxa"/>
          <w:right w:w="108" w:type="dxa"/>
        </w:tblCellMar>
      </w:tblPr>
      <w:tblGrid>
        <w:gridCol w:w="426"/>
        <w:gridCol w:w="1701"/>
        <w:gridCol w:w="3685"/>
        <w:gridCol w:w="2268"/>
        <w:gridCol w:w="1113"/>
      </w:tblGrid>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1701"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设备</w:t>
            </w:r>
          </w:p>
        </w:tc>
        <w:tc>
          <w:tcPr>
            <w:tcW w:w="3685"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规格</w:t>
            </w:r>
          </w:p>
        </w:tc>
        <w:tc>
          <w:tcPr>
            <w:tcW w:w="2268"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材质</w:t>
            </w:r>
          </w:p>
        </w:tc>
        <w:tc>
          <w:tcPr>
            <w:tcW w:w="1113"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数量</w:t>
            </w:r>
          </w:p>
          <w:p>
            <w:pPr>
              <w:keepNext w:val="0"/>
              <w:keepLines w:val="0"/>
              <w:pageBreakBefore w:val="0"/>
              <w:widowControl w:val="0"/>
              <w:kinsoku/>
              <w:wordWrap/>
              <w:overflowPunct/>
              <w:topLinePunct w:val="0"/>
              <w:autoSpaceDE w:val="0"/>
              <w:autoSpaceDN w:val="0"/>
              <w:bidi w:val="0"/>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台（套）</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抽风机</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Y9-19NO8D，型式：离心式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流量:3000Nm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/h，压差：3 kPa，电机功率:7.5 KW</w:t>
            </w:r>
          </w:p>
        </w:tc>
        <w:tc>
          <w:tcPr>
            <w:tcW w:w="2268"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304SS ，</w:t>
            </w:r>
          </w:p>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叶轮：304SS</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焦钠点火风机</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3HD-127RHS，型式：罗茨鼓风机 流量: 正常480Nm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，最大量528Nm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，压差：40 kPa，电机功率:18.5 KW</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304SS</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空气压缩机</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APC75-79.6/2.5,型式：无油螺杆机</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 3900Nm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,压差：250 kPa</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主机：HT200,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消音器：Q235B/Q345R/20#,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底座/隔音罩/结构件：Q235A,</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焦钠一级吸收塔</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型式：填料塔, 内径：1600/2200mm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T/T长高：10000mm</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碳钢耐酸砖胶泥衬里</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焦钠二级吸收塔</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型式：填料塔，内径：1600/2200mm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T/T长高：10000mm</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碳钢耐酸砖胶泥衬里</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一级尾气洗涤塔</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型式：填料塔,内径：2000mm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T/T长高：7500mm,容积25.3立方</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二级尾气洗涤塔</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型式：填料塔4，内径：2000mm T/T长高：7500mm</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一级干燥洗涤塔</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型式：填料塔,内径：2400mm T/T长高：8040mm，</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二级干燥洗涤塔</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型式：填料塔，内径：2400mm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T/T长高：8800mm</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焦钠一废热锅炉</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型式：列管式，换热面积：860m</w:t>
            </w:r>
            <w:r>
              <w:rPr>
                <w:rFonts w:hint="default" w:ascii="Times New Roman" w:hAnsi="Times New Roman" w:eastAsia="宋体" w:cs="Times New Roman"/>
                <w:kern w:val="0"/>
                <w:sz w:val="21"/>
                <w:szCs w:val="21"/>
                <w:vertAlign w:val="superscript"/>
              </w:rPr>
              <w:t>2</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 16MnR</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管程20g</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11</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焦钠二废热锅炉</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型式：列管式，内径：1400mm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T/T长高：5000mm,换热面积：380m</w:t>
            </w:r>
            <w:r>
              <w:rPr>
                <w:rFonts w:hint="default" w:ascii="Times New Roman" w:hAnsi="Times New Roman" w:eastAsia="宋体" w:cs="Times New Roman"/>
                <w:kern w:val="0"/>
                <w:sz w:val="21"/>
                <w:szCs w:val="21"/>
                <w:vertAlign w:val="superscript"/>
              </w:rPr>
              <w:t>2</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 16MnR</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管程20g</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12</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焦钠电加热器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型式：电加热器,内径：500mm</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13</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焦钠硫酸循环冷却器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型式：板式，型号；AU10L2-1C27GF</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14</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一级尾气冷却器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型式：管壳式,内径：500mm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T/T长高：2972mm,换热面积：40m</w:t>
            </w:r>
            <w:r>
              <w:rPr>
                <w:rFonts w:hint="default" w:ascii="Times New Roman" w:hAnsi="Times New Roman" w:eastAsia="宋体" w:cs="Times New Roman"/>
                <w:kern w:val="0"/>
                <w:sz w:val="21"/>
                <w:szCs w:val="21"/>
                <w:vertAlign w:val="superscript"/>
              </w:rPr>
              <w:t>2</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 Q345R</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管程 S32168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一级干燥冷却器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型式：管壳式, 内径：500mm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T/T长高：2972mm, 换热面积：40m</w:t>
            </w:r>
            <w:r>
              <w:rPr>
                <w:rFonts w:hint="default" w:ascii="Times New Roman" w:hAnsi="Times New Roman" w:eastAsia="宋体" w:cs="Times New Roman"/>
                <w:kern w:val="0"/>
                <w:sz w:val="21"/>
                <w:szCs w:val="21"/>
                <w:vertAlign w:val="superscript"/>
              </w:rPr>
              <w:t>2</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 Q345R</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管程 S32168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16</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蒸汽放空冷凝器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型式：管壳式内径：500mm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T/T长高：2972mm,换热面积：26.1m</w:t>
            </w:r>
            <w:r>
              <w:rPr>
                <w:rFonts w:hint="default" w:ascii="Times New Roman" w:hAnsi="Times New Roman" w:eastAsia="宋体" w:cs="Times New Roman"/>
                <w:kern w:val="0"/>
                <w:sz w:val="21"/>
                <w:szCs w:val="21"/>
                <w:vertAlign w:val="superscript"/>
              </w:rPr>
              <w:t>2</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 Q345R</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管程 Q345R</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17</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焦钠三氧化硫转化器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内径：1200/2000mm 高：7500mm</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18</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焦钠硫磺氧化器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Φ3600/3800×2800</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筒体：S32168</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夹套：Q345R</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19</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焦钠一级反应釜</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Φ3000/3100×2400</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筒体：S32168</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夹套筒体：Q245R</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20</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焦钠一级反应釜搅拌器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YR60（锚框式）</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YR60（锚框式）</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21</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焦钠二级反应釜</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Φ3000×2400</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S32168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22</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焦钠二级反应釜搅拌器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YR60（锚框式）</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接液部分：S32168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23</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焦钠三级反应釜</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Φ3000×2400</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S32168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焦钠三级反应釜搅拌器</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YR60（锚框式）</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接液部分：S32168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25</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空气缓冲罐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型式：立式,DN1800X2400 V=7.6m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26</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焦钠一废汽包</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型式：卧式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DN1400X2500V=4.6m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27</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焦钠二废汽包</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型式：卧式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DN1400×2500V=4.6m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28</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焦钠硫磺分离罐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Φ2400/2500×2600V=15.4m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29</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焦钠二氧化硫汽化罐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Φ1400/1500×2200V=4.1m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筒体：S30408</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夹套：S30408</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30</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炉气分离罐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DN1600×2400V=5.9m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筒体：Q245R</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31</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母液罐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型式：卧式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DN2600×6000V=36.5m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S32168</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32</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冷凝水储罐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DN2400×3600V=19.9m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33</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焦钠硫酸贮槽</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型式：卧式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DN2000×4800V=15m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CS/PTFE</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34</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空压机出口缓冲罐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DN2800×7200V=50m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Q345R</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35</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配碱罐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DN3200×2400V=19.3m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S32168</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36</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洗液配制罐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DN3200×2400V=19.3m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S30408</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37</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脱盐水罐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型式：立式，</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DN3000×3000V=21.2m</w:t>
            </w:r>
            <w:r>
              <w:rPr>
                <w:rFonts w:hint="default" w:ascii="Times New Roman" w:hAnsi="Times New Roman" w:eastAsia="宋体" w:cs="Times New Roman"/>
                <w:kern w:val="0"/>
                <w:sz w:val="21"/>
                <w:szCs w:val="21"/>
                <w:vertAlign w:val="superscript"/>
              </w:rPr>
              <w:t>3</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38</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焦钠焚硫炉</w:t>
            </w:r>
          </w:p>
        </w:tc>
        <w:tc>
          <w:tcPr>
            <w:tcW w:w="3685" w:type="dxa"/>
            <w:noWrap w:val="0"/>
            <w:vAlign w:val="center"/>
          </w:tcPr>
          <w:p>
            <w:pPr>
              <w:keepNext w:val="0"/>
              <w:keepLines w:val="0"/>
              <w:pageBreakBefore w:val="0"/>
              <w:widowControl w:val="0"/>
              <w:tabs>
                <w:tab w:val="center" w:pos="790"/>
                <w:tab w:val="right" w:pos="1461"/>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DN4200×12000</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内衬保温砖、耐火砖和耐火浇注料</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39</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焦钠离心机</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GK1250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正常流量：5m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/h；最大流量：8m3/h，，转鼓内径：1250mm，</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机壳：Q235内衬0Cr18Ni10Ti，转鼓含转鼓底：0Cr18Ni10Ti，主轴：42CrMo</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40</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空气干燥机</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LNXG-130/2</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空气处理量：130Nm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/min，处理后空气露点：≤-45℃（常压露点），前置水冷冷气机</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41</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焦亚硫酸钠干燥机组</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QG-7500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能力：7.5t/h(干品)，进料介质组成：含水3~5%焦亚硫酸钠固体，出料介质组成：含水≤0.4%焦亚硫酸钠固体，干燥介质：空气，总功率：173kW</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42</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皮带机</w:t>
            </w:r>
          </w:p>
        </w:tc>
        <w:tc>
          <w:tcPr>
            <w:tcW w:w="3685"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800</w:t>
            </w:r>
            <w:r>
              <w:rPr>
                <w:rFonts w:hint="default" w:ascii="Times New Roman" w:hAnsi="Times New Roman" w:eastAsia="宋体" w:cs="Times New Roman"/>
                <w:kern w:val="0"/>
                <w:sz w:val="21"/>
                <w:szCs w:val="21"/>
              </w:rPr>
              <w:t>×</w:t>
            </w:r>
            <w:r>
              <w:rPr>
                <w:rFonts w:hint="default" w:ascii="Times New Roman" w:hAnsi="Times New Roman" w:eastAsia="宋体" w:cs="Times New Roman"/>
                <w:kern w:val="2"/>
                <w:sz w:val="21"/>
                <w:szCs w:val="21"/>
              </w:rPr>
              <w:t>14000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输送物料：湿焦亚硫酸钠，能力：7.5t/h带宽：800 mm，，水平长度：14900 mm，提升高度：1000 mm，</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43</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焦亚硫酸钠包装机组</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DCS-1000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包装能力：~10000 kg/h，装料重量：700~1000kg（设定值可调），包装准确度：±0.2%，总功率：10 KW，</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物料接触部位0Cr18Ni9</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44</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手动葫芦</w:t>
            </w:r>
          </w:p>
        </w:tc>
        <w:tc>
          <w:tcPr>
            <w:tcW w:w="3685"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2T,10M     2T,7M</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45</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配碱液下泵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型式：离心式DLY50-160，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/h)：33，扬程(m): 30，</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0Cr18Ni10Ti ，叶轮 0Cr18Ni10Ti</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46</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洗液配制液下泵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型式：离心式，LYA50-160-K设计流量（m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/h)：33，扬程(m): 32，</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06Cr18Ni11Ti，叶轮 06Cr18Ni11Ti</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47</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一级尾气循环泵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型式：离心式ESH50-160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/h)：44，扬程(m): 20</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0Cr18Ni9  ，</w:t>
            </w:r>
          </w:p>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叶轮 06Cr18Ni11Ti</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48</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二级尾气循环泵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型式：离心式ESH50-160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/h)：44，扬程(m): 20</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0Cr18Ni9  ，</w:t>
            </w:r>
          </w:p>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叶轮 06Cr18Ni11Ti</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49</w:t>
            </w:r>
          </w:p>
        </w:tc>
        <w:tc>
          <w:tcPr>
            <w:tcW w:w="1701"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0"/>
                <w:sz w:val="21"/>
                <w:szCs w:val="21"/>
              </w:rPr>
              <w:t>一级干燥循环泵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型式：离心式ESH80-160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/h)：66，扬程(m): 20</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0Cr18Ni9  ，</w:t>
            </w:r>
          </w:p>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叶轮 06Cr18Ni11Ti</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50</w:t>
            </w:r>
          </w:p>
        </w:tc>
        <w:tc>
          <w:tcPr>
            <w:tcW w:w="1701"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FF0000"/>
                <w:kern w:val="2"/>
                <w:sz w:val="21"/>
                <w:szCs w:val="21"/>
              </w:rPr>
            </w:pPr>
            <w:r>
              <w:rPr>
                <w:rFonts w:hint="default" w:ascii="Times New Roman" w:hAnsi="Times New Roman" w:eastAsia="宋体" w:cs="Times New Roman"/>
                <w:kern w:val="0"/>
                <w:sz w:val="21"/>
                <w:szCs w:val="21"/>
              </w:rPr>
              <w:t>二级干燥循环泵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型式：离心式ESH80-160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/h)：66，扬程(m): 20</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0Cr18Ni9  ，</w:t>
            </w:r>
          </w:p>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叶轮 06Cr18Ni11Ti</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51</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冷凝水泵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型式：离心式ESH80-160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/h)：25，扬程(m): 15，</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ZG230-450，</w:t>
            </w:r>
          </w:p>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叶轮 ZG230-450</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52</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脱盐水泵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型式：离心式EHG65-40-250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/h)：27.5，扬程(m): 80，</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ZG230-450，</w:t>
            </w:r>
          </w:p>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叶轮 ZG230-450</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53</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焦钠浓硫酸泵</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型式：离心65FCF-54-45/25-C1</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设计流量（m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/h)：45，扬程(m): 20</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 氟塑料 ，</w:t>
            </w:r>
          </w:p>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叶轮 氟塑料</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54</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空压站</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2268" w:type="dxa"/>
            <w:noWrap w:val="0"/>
            <w:vAlign w:val="center"/>
          </w:tcPr>
          <w:p>
            <w:pPr>
              <w:keepNext w:val="0"/>
              <w:keepLines w:val="0"/>
              <w:pageBreakBefore w:val="0"/>
              <w:widowControl w:val="0"/>
              <w:tabs>
                <w:tab w:val="center" w:pos="1751"/>
                <w:tab w:val="right" w:pos="3384"/>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①</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空压机</w:t>
            </w:r>
          </w:p>
        </w:tc>
        <w:tc>
          <w:tcPr>
            <w:tcW w:w="3685"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SH132WC</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型式：无油螺杆式压缩机</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额定流量: 860Nm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2268"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②</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空气压缩机</w:t>
            </w:r>
          </w:p>
        </w:tc>
        <w:tc>
          <w:tcPr>
            <w:tcW w:w="3685"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APC75-79.6/2.5</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型式：无油螺杆机</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0"/>
                <w:sz w:val="21"/>
                <w:szCs w:val="21"/>
              </w:rPr>
              <w:t>流量: 3900Nm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2268"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③</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制冷机组</w:t>
            </w:r>
          </w:p>
        </w:tc>
        <w:tc>
          <w:tcPr>
            <w:tcW w:w="3685"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LNVLGF234H3</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操作介质:氟利昂  蒸发温度（℃）:-20</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冷凝温度（℃）:3</w:t>
            </w:r>
            <w:r>
              <w:rPr>
                <w:rFonts w:hint="eastAsia" w:ascii="Times New Roman" w:hAnsi="Times New Roman" w:cs="Times New Roman"/>
                <w:kern w:val="0"/>
                <w:sz w:val="21"/>
                <w:szCs w:val="21"/>
                <w:lang w:val="en-US" w:eastAsia="zh-CN"/>
              </w:rPr>
              <w:t>8</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0"/>
                <w:sz w:val="21"/>
                <w:szCs w:val="21"/>
              </w:rPr>
              <w:t>制冷量（KW）:700</w:t>
            </w:r>
          </w:p>
        </w:tc>
        <w:tc>
          <w:tcPr>
            <w:tcW w:w="2268"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④</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再生干燥装置</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GL-590</w:t>
            </w:r>
          </w:p>
        </w:tc>
        <w:tc>
          <w:tcPr>
            <w:tcW w:w="2268"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⑤</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空气缓冲罐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DN1500×4500mm  V=8.8m</w:t>
            </w:r>
            <w:r>
              <w:rPr>
                <w:rFonts w:hint="default" w:ascii="Times New Roman" w:hAnsi="Times New Roman" w:eastAsia="宋体" w:cs="Times New Roman"/>
                <w:kern w:val="2"/>
                <w:sz w:val="21"/>
                <w:szCs w:val="24"/>
                <w:vertAlign w:val="superscript"/>
              </w:rPr>
              <w:t>3</w:t>
            </w:r>
          </w:p>
        </w:tc>
        <w:tc>
          <w:tcPr>
            <w:tcW w:w="2268"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⑥</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仪表空气贮罐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DN3200×9500mm V=85 m</w:t>
            </w:r>
            <w:r>
              <w:rPr>
                <w:rFonts w:hint="default" w:ascii="Times New Roman" w:hAnsi="Times New Roman" w:eastAsia="宋体" w:cs="Times New Roman"/>
                <w:kern w:val="2"/>
                <w:sz w:val="21"/>
                <w:szCs w:val="24"/>
                <w:vertAlign w:val="superscript"/>
              </w:rPr>
              <w:t>3</w:t>
            </w:r>
          </w:p>
        </w:tc>
        <w:tc>
          <w:tcPr>
            <w:tcW w:w="2268"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⑦</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工厂空气贮罐</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DN2300×5500mm V=26 m</w:t>
            </w:r>
            <w:r>
              <w:rPr>
                <w:rFonts w:hint="default" w:ascii="Times New Roman" w:hAnsi="Times New Roman" w:eastAsia="宋体" w:cs="Times New Roman"/>
                <w:kern w:val="2"/>
                <w:sz w:val="21"/>
                <w:szCs w:val="24"/>
                <w:vertAlign w:val="superscript"/>
              </w:rPr>
              <w:t>3</w:t>
            </w:r>
          </w:p>
        </w:tc>
        <w:tc>
          <w:tcPr>
            <w:tcW w:w="2268"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firstLine="0" w:firstLineChars="0"/>
              <w:jc w:val="center"/>
              <w:textAlignment w:val="auto"/>
              <w:rPr>
                <w:rFonts w:hint="eastAsia" w:ascii="Times New Roman" w:hAnsi="Times New Roman" w:eastAsia="宋体" w:cs="Times New Roman"/>
                <w:kern w:val="2"/>
                <w:sz w:val="21"/>
                <w:szCs w:val="24"/>
                <w:lang w:val="en-US" w:eastAsia="zh-CN"/>
              </w:rPr>
            </w:pPr>
            <w:r>
              <w:rPr>
                <w:rFonts w:hint="eastAsia" w:ascii="Times New Roman" w:hAnsi="Times New Roman" w:eastAsia="宋体" w:cs="Times New Roman"/>
                <w:kern w:val="2"/>
                <w:sz w:val="21"/>
                <w:szCs w:val="24"/>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⑧</w:t>
            </w:r>
          </w:p>
        </w:tc>
        <w:tc>
          <w:tcPr>
            <w:tcW w:w="17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电动悬挂起重机</w:t>
            </w:r>
          </w:p>
        </w:tc>
        <w:tc>
          <w:tcPr>
            <w:tcW w:w="368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lang w:val="de-DE"/>
              </w:rPr>
            </w:pPr>
            <w:r>
              <w:rPr>
                <w:rFonts w:hint="default" w:ascii="Times New Roman" w:hAnsi="Times New Roman" w:eastAsia="宋体" w:cs="Times New Roman"/>
                <w:kern w:val="0"/>
                <w:sz w:val="21"/>
                <w:szCs w:val="21"/>
              </w:rPr>
              <w:t>起重量</w:t>
            </w:r>
            <w:r>
              <w:rPr>
                <w:rFonts w:hint="default" w:ascii="Times New Roman" w:hAnsi="Times New Roman" w:eastAsia="宋体" w:cs="Times New Roman"/>
                <w:kern w:val="0"/>
                <w:sz w:val="21"/>
                <w:szCs w:val="21"/>
                <w:lang w:val="de-DE"/>
              </w:rPr>
              <w:t xml:space="preserve">：5t   </w:t>
            </w:r>
            <w:r>
              <w:rPr>
                <w:rFonts w:hint="default" w:ascii="Times New Roman" w:hAnsi="Times New Roman" w:eastAsia="宋体" w:cs="Times New Roman"/>
                <w:kern w:val="0"/>
                <w:sz w:val="21"/>
                <w:szCs w:val="21"/>
              </w:rPr>
              <w:t>起升高度</w:t>
            </w:r>
            <w:r>
              <w:rPr>
                <w:rFonts w:hint="default" w:ascii="Times New Roman" w:hAnsi="Times New Roman" w:eastAsia="宋体" w:cs="Times New Roman"/>
                <w:kern w:val="0"/>
                <w:sz w:val="21"/>
                <w:szCs w:val="21"/>
                <w:lang w:val="de-DE"/>
              </w:rPr>
              <w:t>：7m</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跨度：6m   运行距离：32m</w:t>
            </w:r>
          </w:p>
        </w:tc>
        <w:tc>
          <w:tcPr>
            <w:tcW w:w="226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2"/>
                <w:sz w:val="21"/>
                <w:szCs w:val="24"/>
              </w:rPr>
            </w:pPr>
            <w:r>
              <w:rPr>
                <w:rFonts w:hint="eastAsia" w:ascii="Times New Roman" w:hAnsi="Times New Roman" w:eastAsia="宋体" w:cs="Times New Roman"/>
                <w:kern w:val="0"/>
                <w:sz w:val="21"/>
                <w:szCs w:val="21"/>
                <w:lang w:val="en-US" w:eastAsia="zh-CN"/>
              </w:rPr>
              <w:t>/</w:t>
            </w:r>
          </w:p>
        </w:tc>
        <w:tc>
          <w:tcPr>
            <w:tcW w:w="111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bl>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sz w:val="24"/>
        </w:rPr>
      </w:pPr>
      <w:r>
        <w:rPr>
          <w:rFonts w:hint="eastAsia" w:ascii="Times New Roman" w:hAnsi="Times New Roman" w:eastAsia="宋体" w:cs="Times New Roman"/>
          <w:b/>
          <w:bCs/>
          <w:sz w:val="24"/>
        </w:rPr>
        <w:t>表</w:t>
      </w:r>
      <w:r>
        <w:rPr>
          <w:rFonts w:hint="eastAsia" w:ascii="Times New Roman" w:hAnsi="Times New Roman" w:eastAsia="宋体" w:cs="Times New Roman"/>
          <w:b/>
          <w:bCs/>
          <w:sz w:val="24"/>
          <w:lang w:val="en-US" w:eastAsia="zh-CN"/>
        </w:rPr>
        <w:t>2-6</w:t>
      </w:r>
      <w:r>
        <w:rPr>
          <w:rFonts w:hint="eastAsia" w:ascii="Times New Roman" w:hAnsi="Times New Roman" w:eastAsia="宋体" w:cs="Times New Roman"/>
          <w:b/>
          <w:bCs/>
          <w:sz w:val="24"/>
        </w:rPr>
        <w:t xml:space="preserve">          保险粉装置主要设备一览表</w:t>
      </w:r>
    </w:p>
    <w:tbl>
      <w:tblPr>
        <w:tblStyle w:val="21"/>
        <w:tblW w:w="9195" w:type="dxa"/>
        <w:jc w:val="center"/>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Layout w:type="fixed"/>
        <w:tblCellMar>
          <w:top w:w="0" w:type="dxa"/>
          <w:left w:w="28" w:type="dxa"/>
          <w:bottom w:w="0" w:type="dxa"/>
          <w:right w:w="28" w:type="dxa"/>
        </w:tblCellMar>
      </w:tblPr>
      <w:tblGrid>
        <w:gridCol w:w="426"/>
        <w:gridCol w:w="1989"/>
        <w:gridCol w:w="3540"/>
        <w:gridCol w:w="2339"/>
        <w:gridCol w:w="901"/>
      </w:tblGrid>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1989"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设备</w:t>
            </w:r>
          </w:p>
        </w:tc>
        <w:tc>
          <w:tcPr>
            <w:tcW w:w="3540"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规格</w:t>
            </w:r>
          </w:p>
        </w:tc>
        <w:tc>
          <w:tcPr>
            <w:tcW w:w="2339"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材质</w:t>
            </w:r>
          </w:p>
        </w:tc>
        <w:tc>
          <w:tcPr>
            <w:tcW w:w="901" w:type="dxa"/>
            <w:noWrap w:val="0"/>
            <w:vAlign w:val="center"/>
          </w:tcPr>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数量</w:t>
            </w:r>
          </w:p>
          <w:p>
            <w:pPr>
              <w:keepNext w:val="0"/>
              <w:keepLines w:val="0"/>
              <w:pageBreakBefore w:val="0"/>
              <w:widowControl w:val="0"/>
              <w:kinsoku/>
              <w:wordWrap/>
              <w:overflowPunct/>
              <w:topLinePunct w:val="0"/>
              <w:autoSpaceDE w:val="0"/>
              <w:autoSpaceDN w:val="0"/>
              <w:bidi w:val="0"/>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台（套）</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9195" w:type="dxa"/>
            <w:gridSpan w:val="5"/>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一、保险粉合成系统</w:t>
            </w:r>
            <w:r>
              <w:rPr>
                <w:rFonts w:hint="default" w:ascii="Times New Roman" w:hAnsi="Times New Roman" w:eastAsia="宋体" w:cs="Times New Roman"/>
                <w:b/>
                <w:kern w:val="2"/>
                <w:sz w:val="21"/>
                <w:szCs w:val="21"/>
              </w:rPr>
              <w:t>Ⅰ</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合成釜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Φ2800/3000×3600(TL.2200) V=19m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中和釜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Φ3200×4200 V=30m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 xml:space="preserve">  F=25m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放空洗涤罐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Φ1400×2200 V=4m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焦亚配制釜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Φ1800×1800 V=6m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焦亚计量釜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Φ1600×2600 V=6m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二氧化硫贮罐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合成甲醇计量罐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Φ1200×2200 V=2m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EO分配罐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Φ1200×2200 V=3m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EO计量罐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Φ500×1200 V=0.24m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合格母液贮罐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不合格母液贮罐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洗涤甲醇贮罐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干燥热水贮罐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冷凝液贮槽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Φ1800×4400 V=12m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中和液贮罐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精甲醇计量罐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Φ1600×2600 V=6m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烧碱计量槽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Φ1800×4400 V=12m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合成水冷器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Φ800×3000 F=88m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壳程：Q345R  管程：S31603</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合成冷冻水冷凝器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Φ800×3000 F=88m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壳程：Q345R  管程：S31603</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合成氨冷凝器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Φ600×3000 F=46.5m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壳程：S30408；管程：S31603</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69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负压冷冻水冷凝器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Φ1000×5500 F=258m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壳程：Q345R；管程：S32168</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623"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负压氨冷凝器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Φ1000×5500 F=258m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壳程：S30408管程：S32168</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正压冷凝分离器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Φ600×2000/Φ1000×1800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F=30m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，V=1.5m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壳程：S30408；管程：S32168</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中和尾气冷凝器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Φ600×3000  F=46.5m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壳程：Q345R;管程：S32168</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25</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保险粉回转真空干燥器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Φ2600/2700×1430   V=13m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干燥釜本体：0Cr18Ni10Ti/夹套：</w:t>
            </w:r>
          </w:p>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26</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亚钠回转真空干燥器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Φ2600/2700×1430   V=13m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干燥釜本体：0Cr18Ni10Ti/夹套：</w:t>
            </w:r>
          </w:p>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27</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Ⅰ级气固分离罐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Φ1400×2600</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28</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Ⅱ级气固分离罐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Φ1400×2600</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29</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Ⅰ级气液分离器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Φ1400×2200 V=4.0m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30</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Ⅱ级气液分离器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Φ1400×2200 V=4.0m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31</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保险粉料斗</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V=6.7m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32</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耙式干燥器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生产能力： 250kg/h</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33</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亚钠料斗</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V=6.7m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24</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电动单梁悬挂起重机</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起重量：2t跨度：3.5m起升高度：7m</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防爆等级：ExdⅡBT4</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35</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电动单梁悬挂起重机</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起重量：2t  跨度：6m  起升高度：6m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36</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配料水环真空泵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2BE1-202/203  抽气速率：200L/S</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37</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SO2加料泵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lang w:val="de-DE"/>
              </w:rPr>
            </w:pPr>
            <w:r>
              <w:rPr>
                <w:rFonts w:hint="default" w:ascii="Times New Roman" w:hAnsi="Times New Roman" w:eastAsia="宋体" w:cs="Times New Roman"/>
                <w:kern w:val="0"/>
                <w:sz w:val="21"/>
                <w:szCs w:val="21"/>
                <w:lang w:val="de-DE"/>
              </w:rPr>
              <w:t>RWE02-416-0506T1 Q=12m3/h，H=45m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壳体SUS316，叶轮SUS316</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38</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合格母液泵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ESH80-315 Q=60m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H=32m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壳体06Cr18Ni11Ti，叶轮06Cr18Ni11Ti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39</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不合格母液泵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ESH80-315 Q=60m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H=32m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壳体06Cr18Ni11Ti，叶轮06Cr18Ni11Ti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40</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洗涤甲醇泵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ESH80-315 Q=60m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H=25m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壳体06Cr18Ni11Ti，叶轮06Cr18Ni11Ti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41</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干燥热水泵</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EHG 150-125-315  Q=165m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/h,H=30m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壳体CS，叶轮CS</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42</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保险粉真空泵</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WL600  抽气速率600L/S</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壳体HT200，</w:t>
            </w:r>
          </w:p>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气缸HT200</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43</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中和液泵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ESH50-250  Q=38m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H=60m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壳体06Cr18Ni11Ti，叶轮06Cr18Ni11Ti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44</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保险粉热水伴热泵</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EHG 65-40-200 Q=15m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/h，H=50m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材质:壳体CS，叶轮CS</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9195" w:type="dxa"/>
            <w:gridSpan w:val="5"/>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二、保险粉合成系统Ⅱ</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rPr>
              <w:t>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合成釜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Φ2800/3000×3600(TL.2200) V=19m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rPr>
              <w:t>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中和釜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Φ3200×4200 V=30m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 xml:space="preserve">  F=25m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rPr>
              <w:t>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放空洗涤罐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Φ1400×2200 V=4m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rPr>
              <w:t>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焦亚配制釜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Φ1800×1800 V=6m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焦亚计量釜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Φ1600×2600 V=6m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二氧化硫贮罐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合成甲醇计量罐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Φ1200×2200 V=2m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EO分配罐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Φ1200×2200 V=3m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EO计量罐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Φ500×1200 V=0.24m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合格母液贮罐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不合格母液贮罐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洗涤甲醇贮罐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干燥热水贮罐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冷凝液贮槽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Φ1800×4400 V=12m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中和液贮罐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Φ2800×7200 V=50m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精甲醇计量罐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Φ1600×2600 V=6m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烧碱计量槽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Φ1800×4400 V=12m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合成水冷器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Φ800×3000 F=88m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壳程：Q345R  管程：S31603</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19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合成冷冻水冷凝器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Φ800×3000 F=88m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壳程：Q345R  管程：S31603</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合成氨冷凝器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Φ600×3000 F=46.5m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壳程：S30408；管程：S31603</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负压冷冻水冷凝器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Φ1000×5500 F=258m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壳程：Q345R；管程：S32168</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负压氨冷凝器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Φ1000×5500 F=258m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壳程：S30408管程：S32168</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正压冷凝分离器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Φ600×2000/Φ1000×1800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F=30m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，V=1.5m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壳程：S30408；管程：S32168</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中和尾气冷凝器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Φ600×3000  F=46.5m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壳程：Q345R;管程：S32168</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25</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保险粉回转真空干燥器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Φ2600/2700×1430   V=13m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干燥釜本体：0Cr18Ni10Ti/夹套：</w:t>
            </w:r>
          </w:p>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26</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亚钠回转真空干燥器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Φ2600/2700×1430   V=13m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干燥釜本体：0Cr18Ni10Ti/夹套：</w:t>
            </w:r>
          </w:p>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27</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Ⅰ级气固分离罐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Φ1400×2600</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28</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Ⅱ级气固分离罐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Φ1400×2600</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29</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Ⅰ级气液分离器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Φ1400×2200 V=4.0m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30</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Ⅱ级气液分离器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Φ1400×2200 V=4.0m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31</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保险粉料斗</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V=6.7m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32</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耙式干燥器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生产能力： 250kg/h</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Q235B</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33</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亚钠料斗</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V=6.7m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0Cr18Ni10Ti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24</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电动单梁悬挂起重机</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起重量：2 t跨度：3.5 m起升高度：</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 m     防爆等级：ExdⅡBT4</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35</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电动单梁悬挂起重机</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起重量：2 t  跨度：6 m  起升高度：6 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36</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配料水环真空泵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2BE1-202/203  抽气速率：200L/S</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37</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SO2加料泵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lang w:val="de-DE"/>
              </w:rPr>
            </w:pPr>
            <w:r>
              <w:rPr>
                <w:rFonts w:hint="default" w:ascii="Times New Roman" w:hAnsi="Times New Roman" w:eastAsia="宋体" w:cs="Times New Roman"/>
                <w:kern w:val="0"/>
                <w:sz w:val="21"/>
                <w:szCs w:val="21"/>
                <w:lang w:val="de-DE"/>
              </w:rPr>
              <w:t>RWE02-416-0506T1 Q=12m3/h，H=45m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壳体SUS316，叶轮SUS316</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38</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合格母液泵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ESH80-315 Q=60m3/h H=32m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壳体06Cr18Ni11Ti，叶轮06Cr18Ni11Ti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39</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不合格母液泵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ESH80-315 Q=60m3/h H=32m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壳体06Cr18Ni11Ti，叶轮06Cr18Ni11Ti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40</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洗涤甲醇泵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ESH80-315 Q=60m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H=25m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壳体06Cr18Ni11Ti，叶轮06Cr18Ni11Ti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41</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干燥热水泵</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EHG 150-125-315  Q=165m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/h,H=30m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壳体CS，叶轮CS</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42</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保险粉真空泵</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WL600 抽气速率600L/S</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壳体HT200，气缸HT200</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43</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中和液泵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ESH50-250  Q=38m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 H=60m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壳体06Cr18Ni11Ti，叶轮06Cr18Ni11Ti</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rPr>
              <w:t>44</w:t>
            </w:r>
          </w:p>
        </w:tc>
        <w:tc>
          <w:tcPr>
            <w:tcW w:w="198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保险粉热水伴热泵</w:t>
            </w:r>
          </w:p>
        </w:tc>
        <w:tc>
          <w:tcPr>
            <w:tcW w:w="3540"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EHG 65-40-200 Q=15m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/h，H=50m</w:t>
            </w:r>
          </w:p>
        </w:tc>
        <w:tc>
          <w:tcPr>
            <w:tcW w:w="2339" w:type="dxa"/>
            <w:noWrap w:val="0"/>
            <w:vAlign w:val="center"/>
          </w:tcPr>
          <w:p>
            <w:pPr>
              <w:keepNext w:val="0"/>
              <w:keepLines w:val="0"/>
              <w:pageBreakBefore w:val="0"/>
              <w:widowControl w:val="0"/>
              <w:kinsoku/>
              <w:wordWrap/>
              <w:overflowPunct/>
              <w:topLinePunct w:val="0"/>
              <w:autoSpaceDN w:val="0"/>
              <w:bidi w:val="0"/>
              <w:adjustRightInd/>
              <w:snapToGrid/>
              <w:spacing w:line="240" w:lineRule="auto"/>
              <w:ind w:left="0" w:leftChars="0" w:firstLine="0" w:firstLineChars="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壳体CS，叶轮CS</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919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三、保险粉尾气系统Ⅰ</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氮气冷干机</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GL-500W 处理量：50Nm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/min</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氮气冷干机前过滤器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HF9-60 处理量：53Nm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/min</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氮气压缩机</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DW-57/7 处理量：2700Nm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合成尾气甲醇吸收泵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EAP50K1-160-9</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一级合成尾气吸收泵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二级合成尾气吸收泵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干燥尾气冷凝液泵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EAP50K1-160-9</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一级干燥尾气吸收泵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二级干燥尾气吸收泵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0"/>
                <w:sz w:val="21"/>
                <w:szCs w:val="21"/>
              </w:rPr>
              <w:t>一级真空尾气吸收泵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0"/>
                <w:sz w:val="21"/>
                <w:szCs w:val="21"/>
              </w:rPr>
              <w:t>二级真空尾气吸收泵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洗锅水泵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DLY50-160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流量：25m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/h（最大28m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洗锅水地槽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DN6000×3000×2000mm V=36 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干燥尾气冷凝分离器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DN1800×2400mm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氮气储罐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DN3600×6000mm  V=73.3m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气柜进气分离罐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DN1400×2200mm  V=4.1m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气柜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DN5900×11000mm  V=120m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压缩机进口分离罐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DN1400×2200mm  V=4.1m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压缩机出口缓冲罐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DN1200×1800mm  V=2.49m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合成尾气甲醇吸收塔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一级合成尾气碱水吸收塔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二级合成尾气碱水吸收塔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一级干燥尾气碱水吸收塔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二级干燥尾气碱水吸收塔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一级真空尾气碱水吸收塔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二级真空尾气碱水吸收塔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合成尾气氨冷却器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DN600×2500mm  换热面积：46m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T:SS316 S:SS304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一级合成尾气吸收冷却器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T:SS316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二级合成尾气吸收冷却器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T:SS316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干燥尾气冷凝器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DN800×3000mm 换热面积：96.4m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一级干燥尾气吸收冷却器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二级干燥尾气吸收冷却器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一级真空尾气吸收冷却器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二级真空尾气吸收冷却器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919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四、保险粉尾气系统Ⅱ</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合成尾气甲醇吸收泵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EAP50K1-160-9</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一级合成尾气吸收泵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二级合成尾气吸收泵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干燥尾气冷凝液泵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EAP50K1-160-9</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一级干燥尾气吸收泵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二级干燥尾气吸收泵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0"/>
                <w:sz w:val="21"/>
                <w:szCs w:val="21"/>
              </w:rPr>
              <w:t>一级真空尾气吸收泵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0"/>
                <w:sz w:val="21"/>
                <w:szCs w:val="21"/>
              </w:rPr>
              <w:t>二级真空尾气吸收泵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ESH50-160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流量：35m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/h（最大39m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/h）扬程：32m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洗锅水泵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DLY50-160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流量：25m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/h（最大28m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洗锅水地槽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DN6000×3000×2000mm V=36 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干燥尾气冷凝分离器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DN1800×2400mm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仪表空气储罐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DN2400×3600mm  V=20m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合成尾气甲醇吸收塔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一级合成尾气碱水吸收塔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二级合成尾气碱水吸收塔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一级干燥尾气碱水吸收塔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二级干燥尾气碱水吸收塔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一级真空尾气碱水吸收塔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二级真空尾气碱水吸收塔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DN1800×7200mm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SS321</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合成尾气氨冷却器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DN600×2500mm 换热面积：46m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T：SS316 S:SS304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一级合成尾气吸收冷却器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T：SS316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二级合成尾气吸收冷却器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T：SS316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干燥尾气冷凝器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DN800×3000mm 换热面积：96.4m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 SS321  S: SS304</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一级干燥尾气吸收冷却器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二级干燥尾气吸收冷却器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一级真空尾气吸收冷却器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587"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二级真空尾气吸收冷却器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DN400×2500mm 换热面积：18.6m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T：SS321 S:Q245R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919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五、精馏及残液处理</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甲醇蒸馏塔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φ2800×37000  </w:t>
            </w:r>
            <w:r>
              <w:rPr>
                <w:rFonts w:hint="default" w:ascii="Times New Roman" w:hAnsi="Times New Roman" w:eastAsia="宋体" w:cs="Times New Roman"/>
                <w:kern w:val="0"/>
                <w:sz w:val="21"/>
                <w:szCs w:val="21"/>
              </w:rPr>
              <w:t>板式塔</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粗甲醇预热器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φ800×3000 管壳式  换热面积：103m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再沸器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φ2000×3000管壳式 换热面积：466.6m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甲醇冷凝器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FZL-6500  蒸发式换热器</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精馏冷冻水冷凝器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φ600×3000 管壳式 换热面积  换热面积：55m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一效蒸发器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φ1600×2500/φ2000×2800管壳式  换热面积：268m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二效蒸发器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φ1600×2500/φ2000×2800  管壳式换热面积：268m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冷凝水冷却器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φ450×1500管壳式  换热面积：15m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蒸发甲醇水冷凝器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φ600×4500管壳式换热面积：84m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蒸发甲醇冷冻水</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φ500×4500 管壳式 换热面积：60.6m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残液蒸汽水冷凝器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φ1000×4500  管壳式换热面积：255m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残液蒸汽冷冻水</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φ500×4500 管壳式 换热面积：60m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干燥甲醇冷冻水</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φ600×4500管壳式  换热面积：</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84.5 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干燥甲醇氨冷凝器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φ500×4500 管壳式 换热面积：60.4m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甲醇回流泵</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F22-516J4BM-0405T1-K离心泵</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h)：60 扬程(m): 65</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残液泵</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ESH 40-160离心泵</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/h)：18 扬程(m): 20</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一次蒸汽冷凝水泵</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EHG 125-80-400离心泵</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/h)：60扬程(m): 50</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母液泵</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ESH 40-160离心泵</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/h)：18 扬程(m): 25</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甲醇送料泵</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F21-217H4BM-0506S1-BV离心泵</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/h)：18扬程(m):25</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残液冷凝水泵</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EHG 80-50-160离心泵</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/h)：30 扬程(m): 32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真空泵</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2BE1-252-740水环式</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/h)：1296  真空度：-0.06 MPaG</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干燥真空泵</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WLW300往复式</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/h)：1296  真空度：-0.09 MPaG</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精甲醇中转罐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Φ2400×4600     V=24m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残液贮罐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5800×4500×2000，  V=52m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一次蒸汽冷凝水罐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Φ2400×4600 ,    V=24m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调节釜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Φ1800×2200    V=7.0m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固化釜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设备尺寸：Φ1800×2200   V=7.0m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蒸发釜</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Φ1800×2200   V=7.0m</w:t>
            </w:r>
            <w:r>
              <w:rPr>
                <w:rFonts w:hint="default" w:ascii="Times New Roman" w:hAnsi="Times New Roman" w:eastAsia="宋体" w:cs="Times New Roman"/>
                <w:kern w:val="2"/>
                <w:sz w:val="21"/>
                <w:szCs w:val="21"/>
                <w:vertAlign w:val="superscript"/>
              </w:rPr>
              <w:t>2</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残液处理母液罐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Φ2400×4600，V=24.0m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冷凝甲醇罐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Φ2400×4600   V=24.0m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残液冷凝水罐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Φ2400×4600，V=24.0m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甲酸钠回转真空</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干燥机</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2600/2700×2000×8 V=13 m</w:t>
            </w:r>
            <w:r>
              <w:rPr>
                <w:rFonts w:hint="default" w:ascii="Times New Roman" w:hAnsi="Times New Roman" w:eastAsia="宋体" w:cs="Times New Roman"/>
                <w:kern w:val="2"/>
                <w:sz w:val="21"/>
                <w:szCs w:val="21"/>
                <w:vertAlign w:val="superscript"/>
              </w:rPr>
              <w:t xml:space="preserve">2 </w:t>
            </w:r>
            <w:r>
              <w:rPr>
                <w:rFonts w:hint="default" w:ascii="Times New Roman" w:hAnsi="Times New Roman" w:eastAsia="宋体" w:cs="Times New Roman"/>
                <w:kern w:val="2"/>
                <w:sz w:val="21"/>
                <w:szCs w:val="21"/>
              </w:rPr>
              <w:t>8r/min</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残液甲酸钠料斗</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TLD-D298-03-004  V=m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主要材料：0Cr18Ni9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919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六、环氧乙烷综合罐区</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9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1"/>
                <w:sz w:val="21"/>
                <w:szCs w:val="21"/>
              </w:rPr>
              <w:t>EO尾气吸收塔</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Φ500×4000 V=6m</w:t>
            </w:r>
            <w:r>
              <w:rPr>
                <w:rFonts w:hint="default" w:ascii="Times New Roman" w:hAnsi="Times New Roman" w:eastAsia="宋体" w:cs="Times New Roman"/>
                <w:kern w:val="2"/>
                <w:sz w:val="21"/>
                <w:szCs w:val="21"/>
                <w:vertAlign w:val="superscript"/>
              </w:rPr>
              <w:t>3</w:t>
            </w:r>
            <w:r>
              <w:rPr>
                <w:rFonts w:hint="eastAsia" w:ascii="Times New Roman" w:hAnsi="Times New Roman" w:cs="Times New Roman"/>
                <w:kern w:val="2"/>
                <w:sz w:val="21"/>
                <w:szCs w:val="21"/>
                <w:vertAlign w:val="superscript"/>
                <w:lang w:val="en-US" w:eastAsia="zh-CN"/>
              </w:rPr>
              <w:t xml:space="preserve">       </w:t>
            </w:r>
            <w:r>
              <w:rPr>
                <w:rFonts w:hint="default" w:ascii="Times New Roman" w:hAnsi="Times New Roman" w:eastAsia="宋体" w:cs="Times New Roman"/>
                <w:kern w:val="0"/>
                <w:sz w:val="21"/>
                <w:szCs w:val="21"/>
              </w:rPr>
              <w:t>填料塔</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641"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EO尾气冷凝分离器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 xml:space="preserve">Φ400×2000/ Φ1000×1800 </w:t>
            </w:r>
            <w:r>
              <w:rPr>
                <w:rFonts w:hint="default" w:ascii="Times New Roman" w:hAnsi="Times New Roman" w:eastAsia="宋体" w:cs="Times New Roman"/>
                <w:kern w:val="0"/>
                <w:sz w:val="21"/>
                <w:szCs w:val="21"/>
              </w:rPr>
              <w:t>管壳式</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换热面积：15m</w:t>
            </w:r>
            <w:r>
              <w:rPr>
                <w:rFonts w:hint="default" w:ascii="Times New Roman" w:hAnsi="Times New Roman" w:eastAsia="宋体" w:cs="Times New Roman"/>
                <w:kern w:val="0"/>
                <w:sz w:val="21"/>
                <w:szCs w:val="21"/>
                <w:vertAlign w:val="superscript"/>
              </w:rPr>
              <w:t>2</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587"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环氧乙烷泵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de-DE"/>
              </w:rPr>
              <w:t>RWE62-316J4BM-0204T1B1-B</w:t>
            </w:r>
            <w:r>
              <w:rPr>
                <w:rFonts w:hint="default" w:ascii="Times New Roman" w:hAnsi="Times New Roman" w:eastAsia="宋体" w:cs="Times New Roman"/>
                <w:kern w:val="2"/>
                <w:sz w:val="21"/>
                <w:szCs w:val="21"/>
              </w:rPr>
              <w:t>离心式设计流量（m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 xml:space="preserve">/h)：5 </w:t>
            </w:r>
            <w:r>
              <w:rPr>
                <w:rFonts w:hint="eastAsia" w:ascii="Times New Roman" w:hAnsi="Times New Roman" w:cs="Times New Roman"/>
                <w:kern w:val="2"/>
                <w:sz w:val="21"/>
                <w:szCs w:val="21"/>
                <w:lang w:val="en-US" w:eastAsia="zh-CN"/>
              </w:rPr>
              <w:t xml:space="preserve"> </w:t>
            </w:r>
            <w:r>
              <w:rPr>
                <w:rFonts w:hint="default" w:ascii="Times New Roman" w:hAnsi="Times New Roman" w:eastAsia="宋体" w:cs="Times New Roman"/>
                <w:kern w:val="2"/>
                <w:sz w:val="21"/>
                <w:szCs w:val="21"/>
              </w:rPr>
              <w:t xml:space="preserve"> 扬程(m): 60</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543"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环氧乙烷尾气吸收泵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R61-119J4BM-0204R1-B</w:t>
            </w:r>
          </w:p>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/h)：4</w:t>
            </w:r>
            <w:r>
              <w:rPr>
                <w:rFonts w:hint="eastAsia" w:ascii="Times New Roman" w:hAnsi="Times New Roman" w:cs="Times New Roman"/>
                <w:kern w:val="2"/>
                <w:sz w:val="21"/>
                <w:szCs w:val="21"/>
                <w:lang w:val="en-US" w:eastAsia="zh-CN"/>
              </w:rPr>
              <w:t xml:space="preserve">   </w:t>
            </w:r>
            <w:r>
              <w:rPr>
                <w:rFonts w:hint="default" w:ascii="Times New Roman" w:hAnsi="Times New Roman" w:eastAsia="宋体" w:cs="Times New Roman"/>
                <w:kern w:val="2"/>
                <w:sz w:val="21"/>
                <w:szCs w:val="21"/>
              </w:rPr>
              <w:t>扬程(m): 15</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60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32%烧碱泵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DZA80-50-200 离心式</w:t>
            </w:r>
          </w:p>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/h)：38.4</w:t>
            </w:r>
            <w:r>
              <w:rPr>
                <w:rFonts w:hint="eastAsia" w:ascii="Times New Roman" w:hAnsi="Times New Roman" w:cs="Times New Roman"/>
                <w:kern w:val="2"/>
                <w:sz w:val="21"/>
                <w:szCs w:val="21"/>
                <w:lang w:val="en-US" w:eastAsia="zh-CN"/>
              </w:rPr>
              <w:t xml:space="preserve">   </w:t>
            </w:r>
            <w:r>
              <w:rPr>
                <w:rFonts w:hint="default" w:ascii="Times New Roman" w:hAnsi="Times New Roman" w:eastAsia="宋体" w:cs="Times New Roman"/>
                <w:kern w:val="2"/>
                <w:sz w:val="21"/>
                <w:szCs w:val="21"/>
              </w:rPr>
              <w:t>扬程(m): 50</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561"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粗甲醇泵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ESH  50-200离心式</w:t>
            </w:r>
          </w:p>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/h)：38.4</w:t>
            </w:r>
            <w:r>
              <w:rPr>
                <w:rFonts w:hint="eastAsia" w:ascii="Times New Roman" w:hAnsi="Times New Roman" w:cs="Times New Roman"/>
                <w:kern w:val="2"/>
                <w:sz w:val="21"/>
                <w:szCs w:val="21"/>
                <w:lang w:val="en-US" w:eastAsia="zh-CN"/>
              </w:rPr>
              <w:t xml:space="preserve">   </w:t>
            </w:r>
            <w:r>
              <w:rPr>
                <w:rFonts w:hint="default" w:ascii="Times New Roman" w:hAnsi="Times New Roman" w:eastAsia="宋体" w:cs="Times New Roman"/>
                <w:kern w:val="2"/>
                <w:sz w:val="21"/>
                <w:szCs w:val="21"/>
              </w:rPr>
              <w:t>扬程(m): 40</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557"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精甲醇泵</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F22-518J4BM-0508V1B1-K</w:t>
            </w:r>
          </w:p>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/h)：35</w:t>
            </w:r>
            <w:r>
              <w:rPr>
                <w:rFonts w:hint="eastAsia" w:ascii="Times New Roman" w:hAnsi="Times New Roman" w:cs="Times New Roman"/>
                <w:kern w:val="2"/>
                <w:sz w:val="21"/>
                <w:szCs w:val="21"/>
                <w:lang w:val="en-US" w:eastAsia="zh-CN"/>
              </w:rPr>
              <w:t xml:space="preserve">   </w:t>
            </w:r>
            <w:r>
              <w:rPr>
                <w:rFonts w:hint="default" w:ascii="Times New Roman" w:hAnsi="Times New Roman" w:eastAsia="宋体" w:cs="Times New Roman"/>
                <w:kern w:val="2"/>
                <w:sz w:val="21"/>
                <w:szCs w:val="21"/>
              </w:rPr>
              <w:t>扬程(m): 100</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02"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32%烧碱贮罐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Φ6000×8000  V=220m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02"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粗甲醇贮罐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Φ6000×8000  V=220m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88"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精甲醇贮罐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Φ6000×8000  V=220m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28"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EO氮气储罐</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Φ3600×6000；V=60m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EO贮槽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Φ2800×7200 V=50m</w:t>
            </w:r>
            <w:r>
              <w:rPr>
                <w:rFonts w:hint="default" w:ascii="Times New Roman" w:hAnsi="Times New Roman" w:eastAsia="宋体" w:cs="Times New Roman"/>
                <w:kern w:val="2"/>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筒体/盘管：0Cr18Ni9/0Cr18Ni9</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EO卸车鹤管</w:t>
            </w:r>
          </w:p>
        </w:tc>
        <w:tc>
          <w:tcPr>
            <w:tcW w:w="3540"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设计流量：50m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/h</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42" w:hRule="atLeast"/>
          <w:jc w:val="center"/>
        </w:trPr>
        <w:tc>
          <w:tcPr>
            <w:tcW w:w="919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七、冷冻站</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587"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1"/>
                <w:sz w:val="21"/>
                <w:szCs w:val="21"/>
              </w:rPr>
            </w:pPr>
            <w:r>
              <w:rPr>
                <w:rFonts w:hint="default" w:ascii="Times New Roman" w:hAnsi="Times New Roman" w:eastAsia="宋体" w:cs="Times New Roman"/>
                <w:kern w:val="2"/>
                <w:sz w:val="21"/>
                <w:szCs w:val="21"/>
              </w:rPr>
              <w:t>单螺杆式乙二醇冷水机组</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lang w:val="de-DE"/>
              </w:rPr>
            </w:pPr>
            <w:r>
              <w:rPr>
                <w:rFonts w:hint="default" w:ascii="Times New Roman" w:hAnsi="Times New Roman" w:eastAsia="宋体" w:cs="Times New Roman"/>
                <w:kern w:val="2"/>
                <w:sz w:val="21"/>
                <w:szCs w:val="21"/>
                <w:lang w:val="de-DE"/>
              </w:rPr>
              <w:t>GES2028-H 4380×2730×2950</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lang w:val="de-DE"/>
              </w:rPr>
            </w:pPr>
            <w:r>
              <w:rPr>
                <w:rFonts w:hint="default" w:ascii="Times New Roman" w:hAnsi="Times New Roman" w:eastAsia="宋体" w:cs="Times New Roman"/>
                <w:kern w:val="2"/>
                <w:sz w:val="21"/>
                <w:szCs w:val="21"/>
              </w:rPr>
              <w:t>制冷量</w:t>
            </w:r>
            <w:r>
              <w:rPr>
                <w:rFonts w:hint="default" w:ascii="Times New Roman" w:hAnsi="Times New Roman" w:eastAsia="宋体" w:cs="Times New Roman"/>
                <w:kern w:val="2"/>
                <w:sz w:val="21"/>
                <w:szCs w:val="21"/>
                <w:lang w:val="de-DE"/>
              </w:rPr>
              <w:t>：962KW</w:t>
            </w:r>
          </w:p>
        </w:tc>
        <w:tc>
          <w:tcPr>
            <w:tcW w:w="2339"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72"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①</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螺杆式压缩机组</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JZVLGA268DK83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526"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②</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蒸发式冷凝器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CXV-526GP</w:t>
            </w:r>
          </w:p>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7380×2950×4790mm</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02"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③</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辅助贮液器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FZA-150A </w:t>
            </w:r>
            <w:r>
              <w:rPr>
                <w:rFonts w:hint="default" w:ascii="Times New Roman" w:hAnsi="Times New Roman" w:eastAsia="宋体" w:cs="Times New Roman"/>
                <w:kern w:val="0"/>
                <w:sz w:val="21"/>
                <w:szCs w:val="21"/>
              </w:rPr>
              <w:t>φ600×2872mm V=0.73m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02"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④</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贮氨器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ZA-25 </w:t>
            </w:r>
            <w:r>
              <w:rPr>
                <w:rFonts w:hint="default" w:ascii="Times New Roman" w:hAnsi="Times New Roman" w:eastAsia="宋体" w:cs="Times New Roman"/>
                <w:kern w:val="0"/>
                <w:sz w:val="21"/>
                <w:szCs w:val="21"/>
              </w:rPr>
              <w:t>φ2000×8336mm V=25m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302"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⑤</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低压循环贮液桶</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φ1800×2678mm V=12m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Q345R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⑥</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集油器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JY-500</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⑦</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空气分离器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KF-50</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⑧</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紧急泄氨器</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XA-100</w:t>
            </w:r>
          </w:p>
        </w:tc>
        <w:tc>
          <w:tcPr>
            <w:tcW w:w="2339" w:type="dxa"/>
            <w:noWrap w:val="0"/>
            <w:vAlign w:val="center"/>
          </w:tcPr>
          <w:p>
            <w:pPr>
              <w:keepNext w:val="0"/>
              <w:keepLines w:val="0"/>
              <w:pageBreakBefore w:val="0"/>
              <w:widowControl w:val="0"/>
              <w:tabs>
                <w:tab w:val="left" w:pos="3295"/>
              </w:tabs>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Q245R</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氨冷机组</w:t>
            </w:r>
          </w:p>
        </w:tc>
        <w:tc>
          <w:tcPr>
            <w:tcW w:w="35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de-DE"/>
              </w:rPr>
            </w:pPr>
            <w:r>
              <w:rPr>
                <w:rFonts w:hint="default" w:ascii="Times New Roman" w:hAnsi="Times New Roman" w:eastAsia="宋体" w:cs="Times New Roman"/>
                <w:kern w:val="2"/>
                <w:sz w:val="21"/>
                <w:szCs w:val="21"/>
              </w:rPr>
              <w:t>流量</w:t>
            </w:r>
            <w:r>
              <w:rPr>
                <w:rFonts w:hint="default" w:ascii="Times New Roman" w:hAnsi="Times New Roman" w:eastAsia="宋体" w:cs="Times New Roman"/>
                <w:kern w:val="2"/>
                <w:sz w:val="21"/>
                <w:szCs w:val="21"/>
                <w:lang w:val="de-DE"/>
              </w:rPr>
              <w:t>: 11 t/h （</w:t>
            </w:r>
            <w:r>
              <w:rPr>
                <w:rFonts w:hint="default" w:ascii="Times New Roman" w:hAnsi="Times New Roman" w:eastAsia="宋体" w:cs="Times New Roman"/>
                <w:kern w:val="2"/>
                <w:sz w:val="21"/>
                <w:szCs w:val="21"/>
              </w:rPr>
              <w:t>最大</w:t>
            </w:r>
            <w:r>
              <w:rPr>
                <w:rFonts w:hint="default" w:ascii="Times New Roman" w:hAnsi="Times New Roman" w:eastAsia="宋体" w:cs="Times New Roman"/>
                <w:kern w:val="2"/>
                <w:sz w:val="21"/>
                <w:szCs w:val="21"/>
                <w:lang w:val="de-DE"/>
              </w:rPr>
              <w:t>13 t/h）</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出机组液氨温度：-35℃</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出机组液氨压力：-0.01MPaG</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制冷量：单台压缩机对应570kW（压缩机两开一备）</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氨水排放池</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带盖地下水池</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冷冻水槽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Φ4500×6000；V=100m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冷冻水配水槽</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Φ2000×3500；V=11m</w:t>
            </w:r>
            <w:r>
              <w:rPr>
                <w:rFonts w:hint="default" w:ascii="Times New Roman" w:hAnsi="Times New Roman" w:eastAsia="宋体" w:cs="Times New Roman"/>
                <w:kern w:val="0"/>
                <w:sz w:val="21"/>
                <w:szCs w:val="21"/>
                <w:vertAlign w:val="superscript"/>
              </w:rPr>
              <w:t>3</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冷冻水循环泵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DCZ200-150-500离心式 扬程：60m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6</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冷冻水配水泵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DCZ65-40-160 离心式 扬程：26m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7</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液氨泵</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立式屏蔽泵. 正常流量：10m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扬程：45m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CellMar>
            <w:top w:w="0" w:type="dxa"/>
            <w:left w:w="28" w:type="dxa"/>
            <w:bottom w:w="0" w:type="dxa"/>
            <w:right w:w="2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电动单梁起重机</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lang w:val="de-DE"/>
              </w:rPr>
            </w:pPr>
            <w:r>
              <w:rPr>
                <w:rFonts w:hint="default" w:ascii="Times New Roman" w:hAnsi="Times New Roman" w:eastAsia="宋体" w:cs="Times New Roman"/>
                <w:kern w:val="0"/>
                <w:sz w:val="21"/>
                <w:szCs w:val="21"/>
              </w:rPr>
              <w:t>起重量</w:t>
            </w:r>
            <w:r>
              <w:rPr>
                <w:rFonts w:hint="default" w:ascii="Times New Roman" w:hAnsi="Times New Roman" w:eastAsia="宋体" w:cs="Times New Roman"/>
                <w:kern w:val="0"/>
                <w:sz w:val="21"/>
                <w:szCs w:val="21"/>
                <w:lang w:val="de-DE"/>
              </w:rPr>
              <w:t xml:space="preserve">：10t </w:t>
            </w:r>
            <w:r>
              <w:rPr>
                <w:rFonts w:hint="default" w:ascii="Times New Roman" w:hAnsi="Times New Roman" w:eastAsia="宋体" w:cs="Times New Roman"/>
                <w:kern w:val="0"/>
                <w:sz w:val="21"/>
                <w:szCs w:val="21"/>
              </w:rPr>
              <w:t>起升高度</w:t>
            </w:r>
            <w:r>
              <w:rPr>
                <w:rFonts w:hint="default" w:ascii="Times New Roman" w:hAnsi="Times New Roman" w:eastAsia="宋体" w:cs="Times New Roman"/>
                <w:kern w:val="0"/>
                <w:sz w:val="21"/>
                <w:szCs w:val="21"/>
                <w:lang w:val="de-DE"/>
              </w:rPr>
              <w:t>：9m</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跨度：13.5m 运行距离：42m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r>
        <w:tblPrEx>
          <w:tblBorders>
            <w:top w:val="single" w:color="auto" w:sz="4" w:space="0"/>
            <w:left w:val="single" w:color="auto" w:sz="4" w:space="0"/>
            <w:bottom w:val="single" w:color="auto" w:sz="4" w:space="0"/>
            <w:right w:val="single" w:color="000000" w:sz="4" w:space="0"/>
            <w:insideH w:val="single" w:color="auto" w:sz="4" w:space="0"/>
            <w:insideV w:val="single" w:color="000000" w:sz="4" w:space="0"/>
          </w:tblBorders>
        </w:tblPrEx>
        <w:trPr>
          <w:trHeight w:val="20" w:hRule="atLeast"/>
          <w:jc w:val="center"/>
        </w:trPr>
        <w:tc>
          <w:tcPr>
            <w:tcW w:w="42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9</w:t>
            </w:r>
          </w:p>
        </w:tc>
        <w:tc>
          <w:tcPr>
            <w:tcW w:w="198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电动单梁起重机</w:t>
            </w:r>
          </w:p>
        </w:tc>
        <w:tc>
          <w:tcPr>
            <w:tcW w:w="35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lang w:val="de-DE"/>
              </w:rPr>
            </w:pPr>
            <w:r>
              <w:rPr>
                <w:rFonts w:hint="default" w:ascii="Times New Roman" w:hAnsi="Times New Roman" w:eastAsia="宋体" w:cs="Times New Roman"/>
                <w:kern w:val="0"/>
                <w:sz w:val="21"/>
                <w:szCs w:val="21"/>
              </w:rPr>
              <w:t>起重量</w:t>
            </w:r>
            <w:r>
              <w:rPr>
                <w:rFonts w:hint="default" w:ascii="Times New Roman" w:hAnsi="Times New Roman" w:eastAsia="宋体" w:cs="Times New Roman"/>
                <w:kern w:val="0"/>
                <w:sz w:val="21"/>
                <w:szCs w:val="21"/>
                <w:lang w:val="de-DE"/>
              </w:rPr>
              <w:t xml:space="preserve">：5t </w:t>
            </w:r>
            <w:r>
              <w:rPr>
                <w:rFonts w:hint="default" w:ascii="Times New Roman" w:hAnsi="Times New Roman" w:eastAsia="宋体" w:cs="Times New Roman"/>
                <w:kern w:val="0"/>
                <w:sz w:val="21"/>
                <w:szCs w:val="21"/>
              </w:rPr>
              <w:t>起升高度</w:t>
            </w:r>
            <w:r>
              <w:rPr>
                <w:rFonts w:hint="default" w:ascii="Times New Roman" w:hAnsi="Times New Roman" w:eastAsia="宋体" w:cs="Times New Roman"/>
                <w:kern w:val="0"/>
                <w:sz w:val="21"/>
                <w:szCs w:val="21"/>
                <w:lang w:val="de-DE"/>
              </w:rPr>
              <w:t>：9m</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跨度：10.5m 运行距离：18m</w:t>
            </w:r>
          </w:p>
        </w:tc>
        <w:tc>
          <w:tcPr>
            <w:tcW w:w="233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90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r>
    </w:tbl>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rPr>
      </w:pPr>
      <w:bookmarkStart w:id="49" w:name="_Toc5484"/>
      <w:r>
        <w:rPr>
          <w:rFonts w:hint="default" w:ascii="Times New Roman" w:hAnsi="Times New Roman" w:cs="Times New Roman"/>
          <w:sz w:val="30"/>
          <w:szCs w:val="30"/>
          <w:highlight w:val="none"/>
        </w:rPr>
        <w:t>2.</w:t>
      </w:r>
      <w:r>
        <w:rPr>
          <w:rFonts w:hint="default" w:ascii="Times New Roman" w:hAnsi="Times New Roman" w:cs="Times New Roman"/>
          <w:sz w:val="30"/>
          <w:szCs w:val="30"/>
          <w:highlight w:val="none"/>
          <w:lang w:val="en-US" w:eastAsia="zh-CN"/>
        </w:rPr>
        <w:t>3原辅料及产品情况</w:t>
      </w:r>
      <w:bookmarkEnd w:id="49"/>
    </w:p>
    <w:p>
      <w:pPr>
        <w:pageBreakBefore w:val="0"/>
        <w:widowControl/>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spacing w:val="-10"/>
          <w:sz w:val="28"/>
          <w:lang w:eastAsia="zh-CN"/>
        </w:rPr>
      </w:pPr>
      <w:r>
        <w:rPr>
          <w:rFonts w:hint="eastAsia" w:ascii="Times New Roman" w:hAnsi="Times New Roman" w:cs="Times New Roman"/>
          <w:spacing w:val="-10"/>
          <w:sz w:val="28"/>
          <w:highlight w:val="none"/>
          <w:lang w:eastAsia="zh-CN"/>
        </w:rPr>
        <w:t>安阳九久化学科技有限</w:t>
      </w:r>
      <w:r>
        <w:rPr>
          <w:rFonts w:hint="eastAsia" w:ascii="Times New Roman" w:hAnsi="Times New Roman" w:cs="Times New Roman"/>
          <w:spacing w:val="-10"/>
          <w:sz w:val="28"/>
          <w:lang w:eastAsia="zh-CN"/>
        </w:rPr>
        <w:t>公司</w:t>
      </w:r>
      <w:r>
        <w:rPr>
          <w:rFonts w:hint="default" w:ascii="Times New Roman" w:hAnsi="Times New Roman" w:cs="Times New Roman"/>
          <w:spacing w:val="-10"/>
          <w:sz w:val="28"/>
        </w:rPr>
        <w:t>主要原辅材料详见下表</w:t>
      </w:r>
      <w:r>
        <w:rPr>
          <w:rFonts w:hint="default" w:ascii="Times New Roman" w:hAnsi="Times New Roman" w:cs="Times New Roman"/>
          <w:spacing w:val="-10"/>
          <w:sz w:val="28"/>
          <w:lang w:eastAsia="zh-CN"/>
        </w:rPr>
        <w:t>。</w:t>
      </w:r>
    </w:p>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spacing w:val="-5"/>
          <w:sz w:val="24"/>
          <w:lang w:val="en-US" w:eastAsia="zh-CN"/>
        </w:rPr>
      </w:pPr>
      <w:r>
        <w:rPr>
          <w:rFonts w:hint="default" w:ascii="Times New Roman" w:hAnsi="Times New Roman" w:eastAsia="宋体" w:cs="Times New Roman"/>
          <w:b/>
          <w:spacing w:val="-5"/>
          <w:sz w:val="24"/>
        </w:rPr>
        <w:t>表</w:t>
      </w:r>
      <w:r>
        <w:rPr>
          <w:rFonts w:hint="default" w:ascii="Times New Roman" w:hAnsi="Times New Roman" w:eastAsia="宋体" w:cs="Times New Roman"/>
          <w:b/>
          <w:spacing w:val="-5"/>
          <w:sz w:val="24"/>
          <w:lang w:val="en-US" w:eastAsia="zh-CN"/>
        </w:rPr>
        <w:t>2-</w:t>
      </w:r>
      <w:r>
        <w:rPr>
          <w:rFonts w:hint="eastAsia" w:cs="Times New Roman"/>
          <w:b/>
          <w:spacing w:val="-5"/>
          <w:sz w:val="24"/>
          <w:lang w:val="en-US" w:eastAsia="zh-CN"/>
        </w:rPr>
        <w:t>7</w:t>
      </w:r>
      <w:r>
        <w:rPr>
          <w:rFonts w:hint="default" w:ascii="Times New Roman" w:hAnsi="Times New Roman" w:eastAsia="宋体" w:cs="Times New Roman"/>
          <w:b/>
          <w:spacing w:val="-5"/>
          <w:sz w:val="24"/>
        </w:rPr>
        <w:tab/>
      </w:r>
      <w:r>
        <w:rPr>
          <w:rFonts w:hint="default" w:ascii="Times New Roman" w:hAnsi="Times New Roman" w:eastAsia="宋体" w:cs="Times New Roman"/>
          <w:b/>
          <w:spacing w:val="-5"/>
          <w:sz w:val="24"/>
        </w:rPr>
        <w:t>工程原辅材料、燃料及动力消耗一览</w:t>
      </w:r>
      <w:r>
        <w:rPr>
          <w:rFonts w:hint="default" w:ascii="Times New Roman" w:hAnsi="Times New Roman" w:eastAsia="宋体" w:cs="Times New Roman"/>
          <w:b/>
          <w:spacing w:val="-5"/>
          <w:sz w:val="24"/>
          <w:lang w:val="en-US" w:eastAsia="zh-CN"/>
        </w:rPr>
        <w:t>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260"/>
        <w:gridCol w:w="1440"/>
        <w:gridCol w:w="1934"/>
        <w:gridCol w:w="1776"/>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vMerge w:val="restar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序号</w:t>
            </w:r>
          </w:p>
        </w:tc>
        <w:tc>
          <w:tcPr>
            <w:tcW w:w="1260" w:type="dxa"/>
            <w:vMerge w:val="restar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名称</w:t>
            </w:r>
          </w:p>
        </w:tc>
        <w:tc>
          <w:tcPr>
            <w:tcW w:w="1440" w:type="dxa"/>
            <w:vMerge w:val="restar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规格</w:t>
            </w:r>
          </w:p>
        </w:tc>
        <w:tc>
          <w:tcPr>
            <w:tcW w:w="1934" w:type="dxa"/>
            <w:vMerge w:val="restar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消耗定额</w:t>
            </w:r>
          </w:p>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（kg/t保险粉）</w:t>
            </w:r>
          </w:p>
        </w:tc>
        <w:tc>
          <w:tcPr>
            <w:tcW w:w="3910" w:type="dxa"/>
            <w:gridSpan w:val="2"/>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p>
        </w:tc>
        <w:tc>
          <w:tcPr>
            <w:tcW w:w="1260"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p>
        </w:tc>
        <w:tc>
          <w:tcPr>
            <w:tcW w:w="1440"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p>
        </w:tc>
        <w:tc>
          <w:tcPr>
            <w:tcW w:w="1934"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p>
        </w:tc>
        <w:tc>
          <w:tcPr>
            <w:tcW w:w="1776"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t/h</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5" w:type="dxa"/>
            <w:gridSpan w:val="6"/>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yellow"/>
              </w:rPr>
            </w:pPr>
            <w:r>
              <w:rPr>
                <w:rFonts w:hint="default" w:ascii="Times New Roman" w:hAnsi="Times New Roman" w:eastAsia="宋体" w:cs="Times New Roman"/>
                <w:kern w:val="2"/>
                <w:sz w:val="21"/>
                <w:szCs w:val="21"/>
              </w:rPr>
              <w:t>主要原材料消耗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纯碱</w:t>
            </w:r>
          </w:p>
        </w:tc>
        <w:tc>
          <w:tcPr>
            <w:tcW w:w="14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249.29</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3.46</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24929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硫磺</w:t>
            </w:r>
          </w:p>
        </w:tc>
        <w:tc>
          <w:tcPr>
            <w:tcW w:w="14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372.502</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5.16</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37166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甲醇</w:t>
            </w:r>
          </w:p>
        </w:tc>
        <w:tc>
          <w:tcPr>
            <w:tcW w:w="14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99.5%</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16（循环量</w:t>
            </w:r>
            <w:r>
              <w:rPr>
                <w:rFonts w:hint="default" w:ascii="Times New Roman" w:hAnsi="Times New Roman" w:eastAsia="宋体" w:cs="Times New Roman"/>
                <w:bCs/>
                <w:kern w:val="0"/>
                <w:sz w:val="21"/>
                <w:szCs w:val="21"/>
                <w:lang w:val="zh-CN"/>
              </w:rPr>
              <w:t>1381.34</w:t>
            </w:r>
            <w:r>
              <w:rPr>
                <w:rFonts w:hint="default" w:ascii="Times New Roman" w:hAnsi="Times New Roman" w:eastAsia="宋体" w:cs="Times New Roman"/>
                <w:kern w:val="0"/>
                <w:sz w:val="21"/>
                <w:szCs w:val="21"/>
              </w:rPr>
              <w:t>）</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0.222</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环氧乙烷</w:t>
            </w:r>
          </w:p>
        </w:tc>
        <w:tc>
          <w:tcPr>
            <w:tcW w:w="14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19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18.55</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0.26</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val="en-US" w:eastAsia="zh-CN"/>
              </w:rPr>
              <w:t>5</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烧碱</w:t>
            </w:r>
          </w:p>
        </w:tc>
        <w:tc>
          <w:tcPr>
            <w:tcW w:w="1440"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32%</w:t>
            </w:r>
          </w:p>
        </w:tc>
        <w:tc>
          <w:tcPr>
            <w:tcW w:w="19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1026.98</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14.26</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rPr>
              <w:t>102698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65" w:type="dxa"/>
            <w:gridSpan w:val="6"/>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yellow"/>
              </w:rPr>
            </w:pPr>
            <w:r>
              <w:rPr>
                <w:rFonts w:hint="default" w:ascii="Times New Roman" w:hAnsi="Times New Roman" w:eastAsia="宋体" w:cs="Times New Roman"/>
                <w:kern w:val="2"/>
                <w:sz w:val="21"/>
                <w:szCs w:val="21"/>
              </w:rPr>
              <w:t>动力消耗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氮气</w:t>
            </w:r>
          </w:p>
        </w:tc>
        <w:tc>
          <w:tcPr>
            <w:tcW w:w="14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99.9%</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5.04Nm</w:t>
            </w:r>
            <w:r>
              <w:rPr>
                <w:rFonts w:hint="default" w:ascii="Times New Roman" w:hAnsi="Times New Roman" w:eastAsia="宋体" w:cs="Times New Roman"/>
                <w:kern w:val="0"/>
                <w:sz w:val="21"/>
                <w:szCs w:val="21"/>
                <w:vertAlign w:val="superscript"/>
              </w:rPr>
              <w:t>3</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 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504000</w:t>
            </w:r>
            <w:r>
              <w:rPr>
                <w:rFonts w:hint="default" w:ascii="Times New Roman" w:hAnsi="Times New Roman" w:eastAsia="宋体" w:cs="Times New Roman"/>
                <w:kern w:val="0"/>
                <w:sz w:val="21"/>
                <w:szCs w:val="21"/>
              </w:rPr>
              <w:t xml:space="preserve"> 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2</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仪表空气</w:t>
            </w:r>
          </w:p>
        </w:tc>
        <w:tc>
          <w:tcPr>
            <w:tcW w:w="14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2"/>
                <w:sz w:val="21"/>
                <w:szCs w:val="21"/>
              </w:rPr>
              <w:t>露点-40℃</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48Nm</w:t>
            </w:r>
            <w:r>
              <w:rPr>
                <w:rFonts w:hint="default" w:ascii="Times New Roman" w:hAnsi="Times New Roman" w:eastAsia="宋体" w:cs="Times New Roman"/>
                <w:kern w:val="0"/>
                <w:sz w:val="21"/>
                <w:szCs w:val="21"/>
                <w:vertAlign w:val="superscript"/>
              </w:rPr>
              <w:t>3</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667Nm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4802400</w:t>
            </w:r>
            <w:r>
              <w:rPr>
                <w:rFonts w:hint="default" w:ascii="Times New Roman" w:hAnsi="Times New Roman" w:eastAsia="宋体" w:cs="Times New Roman"/>
                <w:kern w:val="0"/>
                <w:sz w:val="21"/>
                <w:szCs w:val="21"/>
              </w:rPr>
              <w:t xml:space="preserve"> Nm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vMerge w:val="restar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w:t>
            </w:r>
          </w:p>
        </w:tc>
        <w:tc>
          <w:tcPr>
            <w:tcW w:w="1260"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蒸汽</w:t>
            </w:r>
          </w:p>
        </w:tc>
        <w:tc>
          <w:tcPr>
            <w:tcW w:w="14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0.8MPa饱和</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1.6632</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23.1</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166320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p>
        </w:tc>
        <w:tc>
          <w:tcPr>
            <w:tcW w:w="1260"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p>
        </w:tc>
        <w:tc>
          <w:tcPr>
            <w:tcW w:w="14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1.6MPa饱和</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0.432</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一次水</w:t>
            </w:r>
          </w:p>
        </w:tc>
        <w:tc>
          <w:tcPr>
            <w:tcW w:w="14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8.576t</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119.1245t/h</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85760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5</w:t>
            </w:r>
          </w:p>
        </w:tc>
        <w:tc>
          <w:tcPr>
            <w:tcW w:w="126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动力电</w:t>
            </w:r>
          </w:p>
        </w:tc>
        <w:tc>
          <w:tcPr>
            <w:tcW w:w="144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380V</w:t>
            </w:r>
          </w:p>
        </w:tc>
        <w:tc>
          <w:tcPr>
            <w:tcW w:w="193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466.2kw</w:t>
            </w:r>
          </w:p>
        </w:tc>
        <w:tc>
          <w:tcPr>
            <w:tcW w:w="177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6475kw</w:t>
            </w:r>
          </w:p>
        </w:tc>
        <w:tc>
          <w:tcPr>
            <w:tcW w:w="21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46620000</w:t>
            </w:r>
          </w:p>
        </w:tc>
      </w:tr>
    </w:tbl>
    <w:p>
      <w:pPr>
        <w:pageBreakBefore w:val="0"/>
        <w:widowControl/>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spacing w:val="-10"/>
          <w:sz w:val="28"/>
          <w:lang w:eastAsia="zh-CN"/>
        </w:rPr>
      </w:pPr>
      <w:r>
        <w:rPr>
          <w:rFonts w:hint="eastAsia" w:ascii="Times New Roman" w:hAnsi="Times New Roman" w:cs="Times New Roman"/>
          <w:spacing w:val="-10"/>
          <w:sz w:val="28"/>
          <w:highlight w:val="none"/>
          <w:lang w:eastAsia="zh-CN"/>
        </w:rPr>
        <w:t>安阳九久化学科技有限公司</w:t>
      </w:r>
      <w:r>
        <w:rPr>
          <w:rFonts w:hint="default" w:ascii="Times New Roman" w:hAnsi="Times New Roman" w:cs="Times New Roman"/>
          <w:spacing w:val="-10"/>
          <w:sz w:val="28"/>
        </w:rPr>
        <w:t>主要</w:t>
      </w:r>
      <w:r>
        <w:rPr>
          <w:rFonts w:hint="default" w:ascii="Times New Roman" w:hAnsi="Times New Roman" w:cs="Times New Roman"/>
          <w:spacing w:val="-10"/>
          <w:sz w:val="28"/>
          <w:lang w:val="en-US" w:eastAsia="zh-CN"/>
        </w:rPr>
        <w:t>产品</w:t>
      </w:r>
      <w:r>
        <w:rPr>
          <w:rFonts w:hint="default" w:ascii="Times New Roman" w:hAnsi="Times New Roman" w:cs="Times New Roman"/>
          <w:spacing w:val="-10"/>
          <w:sz w:val="28"/>
        </w:rPr>
        <w:t>详见下表</w:t>
      </w:r>
      <w:r>
        <w:rPr>
          <w:rFonts w:hint="default" w:ascii="Times New Roman" w:hAnsi="Times New Roman" w:cs="Times New Roman"/>
          <w:spacing w:val="-10"/>
          <w:sz w:val="28"/>
          <w:lang w:eastAsia="zh-CN"/>
        </w:rPr>
        <w:t>。</w:t>
      </w:r>
    </w:p>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spacing w:val="-5"/>
          <w:sz w:val="24"/>
          <w:lang w:val="en-US" w:eastAsia="zh-CN"/>
        </w:rPr>
      </w:pPr>
      <w:r>
        <w:rPr>
          <w:rFonts w:hint="default" w:ascii="Times New Roman" w:hAnsi="Times New Roman" w:eastAsia="宋体" w:cs="Times New Roman"/>
          <w:b/>
          <w:spacing w:val="-5"/>
          <w:sz w:val="24"/>
        </w:rPr>
        <w:t>表</w:t>
      </w:r>
      <w:r>
        <w:rPr>
          <w:rFonts w:hint="default" w:ascii="Times New Roman" w:hAnsi="Times New Roman" w:eastAsia="宋体" w:cs="Times New Roman"/>
          <w:b/>
          <w:spacing w:val="-5"/>
          <w:sz w:val="24"/>
          <w:lang w:val="en-US" w:eastAsia="zh-CN"/>
        </w:rPr>
        <w:t>2-</w:t>
      </w:r>
      <w:r>
        <w:rPr>
          <w:rFonts w:hint="eastAsia" w:cs="Times New Roman"/>
          <w:b/>
          <w:spacing w:val="-5"/>
          <w:sz w:val="24"/>
          <w:lang w:val="en-US" w:eastAsia="zh-CN"/>
        </w:rPr>
        <w:t>8</w:t>
      </w:r>
      <w:r>
        <w:rPr>
          <w:rFonts w:hint="default" w:ascii="Times New Roman" w:hAnsi="Times New Roman" w:eastAsia="宋体" w:cs="Times New Roman"/>
          <w:b/>
          <w:spacing w:val="-5"/>
          <w:sz w:val="24"/>
        </w:rPr>
        <w:tab/>
      </w:r>
      <w:r>
        <w:rPr>
          <w:rFonts w:hint="default" w:ascii="Times New Roman" w:hAnsi="Times New Roman" w:eastAsia="宋体" w:cs="Times New Roman"/>
          <w:b/>
          <w:spacing w:val="-5"/>
          <w:sz w:val="24"/>
        </w:rPr>
        <w:t>工程</w:t>
      </w:r>
      <w:r>
        <w:rPr>
          <w:rFonts w:hint="default" w:ascii="Times New Roman" w:hAnsi="Times New Roman" w:cs="Times New Roman"/>
          <w:b/>
          <w:spacing w:val="-5"/>
          <w:sz w:val="24"/>
          <w:lang w:val="en-US" w:eastAsia="zh-CN"/>
        </w:rPr>
        <w:t>产品</w:t>
      </w:r>
      <w:r>
        <w:rPr>
          <w:rFonts w:hint="default" w:ascii="Times New Roman" w:hAnsi="Times New Roman" w:eastAsia="宋体" w:cs="Times New Roman"/>
          <w:b/>
          <w:spacing w:val="-5"/>
          <w:sz w:val="24"/>
        </w:rPr>
        <w:t>一览</w:t>
      </w:r>
      <w:r>
        <w:rPr>
          <w:rFonts w:hint="default" w:ascii="Times New Roman" w:hAnsi="Times New Roman" w:eastAsia="宋体" w:cs="Times New Roman"/>
          <w:b/>
          <w:spacing w:val="-5"/>
          <w:sz w:val="24"/>
          <w:lang w:val="en-US" w:eastAsia="zh-CN"/>
        </w:rPr>
        <w:t>表</w:t>
      </w:r>
    </w:p>
    <w:tbl>
      <w:tblPr>
        <w:tblStyle w:val="21"/>
        <w:tblW w:w="46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3437"/>
        <w:gridCol w:w="1903"/>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项目</w:t>
            </w:r>
          </w:p>
        </w:tc>
        <w:tc>
          <w:tcPr>
            <w:tcW w:w="18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日产量（t/d）</w:t>
            </w:r>
          </w:p>
        </w:tc>
        <w:tc>
          <w:tcPr>
            <w:tcW w:w="10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产量（t/a）</w:t>
            </w:r>
          </w:p>
        </w:tc>
        <w:tc>
          <w:tcPr>
            <w:tcW w:w="9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保险粉</w:t>
            </w:r>
          </w:p>
        </w:tc>
        <w:tc>
          <w:tcPr>
            <w:tcW w:w="18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333.3（2条线，单条线166.7）</w:t>
            </w:r>
          </w:p>
        </w:tc>
        <w:tc>
          <w:tcPr>
            <w:tcW w:w="10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100000</w:t>
            </w:r>
          </w:p>
        </w:tc>
        <w:tc>
          <w:tcPr>
            <w:tcW w:w="9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亚硫酸钠</w:t>
            </w:r>
          </w:p>
        </w:tc>
        <w:tc>
          <w:tcPr>
            <w:tcW w:w="18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33.3（2条线，单条线16.7）</w:t>
            </w:r>
          </w:p>
        </w:tc>
        <w:tc>
          <w:tcPr>
            <w:tcW w:w="10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10000</w:t>
            </w:r>
          </w:p>
        </w:tc>
        <w:tc>
          <w:tcPr>
            <w:tcW w:w="9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配套装置产能：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液体二氧化硫</w:t>
            </w:r>
          </w:p>
        </w:tc>
        <w:tc>
          <w:tcPr>
            <w:tcW w:w="18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150（1条线）</w:t>
            </w:r>
          </w:p>
        </w:tc>
        <w:tc>
          <w:tcPr>
            <w:tcW w:w="10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45000</w:t>
            </w:r>
          </w:p>
        </w:tc>
        <w:tc>
          <w:tcPr>
            <w:tcW w:w="9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焦亚硫酸钠</w:t>
            </w:r>
          </w:p>
        </w:tc>
        <w:tc>
          <w:tcPr>
            <w:tcW w:w="185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150（1条线）</w:t>
            </w:r>
          </w:p>
        </w:tc>
        <w:tc>
          <w:tcPr>
            <w:tcW w:w="10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45000</w:t>
            </w:r>
          </w:p>
        </w:tc>
        <w:tc>
          <w:tcPr>
            <w:tcW w:w="9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自用</w:t>
            </w:r>
          </w:p>
        </w:tc>
      </w:tr>
    </w:tbl>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b/>
          <w:spacing w:val="-5"/>
          <w:sz w:val="24"/>
          <w:lang w:val="en-US" w:eastAsia="zh-CN"/>
        </w:rPr>
      </w:pPr>
    </w:p>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rPr>
      </w:pPr>
      <w:bookmarkStart w:id="50" w:name="_Toc16562"/>
      <w:r>
        <w:rPr>
          <w:rFonts w:hint="default" w:ascii="Times New Roman" w:hAnsi="Times New Roman" w:cs="Times New Roman"/>
          <w:sz w:val="30"/>
          <w:szCs w:val="30"/>
          <w:highlight w:val="none"/>
        </w:rPr>
        <w:t>2.</w:t>
      </w:r>
      <w:r>
        <w:rPr>
          <w:rFonts w:hint="default" w:ascii="Times New Roman" w:hAnsi="Times New Roman" w:cs="Times New Roman"/>
          <w:sz w:val="30"/>
          <w:szCs w:val="30"/>
          <w:highlight w:val="none"/>
          <w:lang w:val="en-US" w:eastAsia="zh-CN"/>
        </w:rPr>
        <w:t>4生产工艺及产排污环节</w:t>
      </w:r>
      <w:bookmarkEnd w:id="50"/>
    </w:p>
    <w:p>
      <w:pPr>
        <w:spacing w:line="360" w:lineRule="auto"/>
        <w:ind w:firstLine="560" w:firstLineChars="200"/>
        <w:jc w:val="both"/>
        <w:rPr>
          <w:rFonts w:hint="eastAsia"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生产工艺：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color w:val="FF0000"/>
          <w:kern w:val="2"/>
          <w:sz w:val="28"/>
          <w:szCs w:val="28"/>
        </w:rPr>
      </w:pPr>
      <w:r>
        <w:rPr>
          <w:rFonts w:hint="eastAsia" w:ascii="Times New Roman" w:hAnsi="宋体" w:eastAsia="宋体" w:cs="Times New Roman"/>
          <w:kern w:val="2"/>
          <w:sz w:val="28"/>
          <w:szCs w:val="28"/>
        </w:rPr>
        <w:t>本工程保险粉的生产工艺是以焦亚硫酸钠和二氧化硫为原料，以</w:t>
      </w:r>
      <w:r>
        <w:rPr>
          <w:rFonts w:ascii="Times New Roman" w:hAnsi="Times New Roman" w:eastAsia="宋体" w:cs="Times New Roman"/>
          <w:kern w:val="2"/>
          <w:sz w:val="28"/>
          <w:szCs w:val="28"/>
        </w:rPr>
        <w:t>80%</w:t>
      </w:r>
      <w:r>
        <w:rPr>
          <w:rFonts w:hint="eastAsia" w:ascii="Times New Roman" w:hAnsi="宋体" w:eastAsia="宋体" w:cs="Times New Roman"/>
          <w:kern w:val="2"/>
          <w:sz w:val="28"/>
          <w:szCs w:val="28"/>
        </w:rPr>
        <w:t>左右的甲醇水溶液作为分散介质，在密闭的搅拌容器内进行合成反应，生成保险粉。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cs="Times New Roman"/>
          <w:kern w:val="2"/>
          <w:sz w:val="28"/>
          <w:szCs w:val="28"/>
          <w:lang w:eastAsia="zh-CN"/>
        </w:rPr>
        <w:t>（</w:t>
      </w:r>
      <w:r>
        <w:rPr>
          <w:rFonts w:hint="eastAsia" w:ascii="宋体" w:hAnsi="宋体" w:cs="Times New Roman"/>
          <w:kern w:val="2"/>
          <w:sz w:val="28"/>
          <w:szCs w:val="28"/>
          <w:lang w:val="en-US" w:eastAsia="zh-CN"/>
        </w:rPr>
        <w:t>1</w:t>
      </w:r>
      <w:r>
        <w:rPr>
          <w:rFonts w:hint="eastAsia" w:ascii="宋体" w:hAnsi="宋体" w:cs="Times New Roman"/>
          <w:kern w:val="2"/>
          <w:sz w:val="28"/>
          <w:szCs w:val="28"/>
          <w:lang w:eastAsia="zh-CN"/>
        </w:rPr>
        <w:t>）</w:t>
      </w:r>
      <w:r>
        <w:rPr>
          <w:rFonts w:hint="eastAsia" w:ascii="宋体" w:hAnsi="宋体" w:eastAsia="宋体" w:cs="Times New Roman"/>
          <w:kern w:val="2"/>
          <w:sz w:val="28"/>
          <w:szCs w:val="28"/>
        </w:rPr>
        <w:t>焦亚硫酸钠的合成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kern w:val="2"/>
          <w:sz w:val="28"/>
          <w:szCs w:val="28"/>
        </w:rPr>
      </w:pPr>
      <w:r>
        <w:rPr>
          <w:rFonts w:hint="eastAsia" w:ascii="Times New Roman" w:hAnsi="宋体" w:eastAsia="宋体" w:cs="Times New Roman"/>
          <w:kern w:val="2"/>
          <w:sz w:val="28"/>
          <w:szCs w:val="28"/>
        </w:rPr>
        <w:t>将熔融的硫磺通入焚烧炉中，与空压机而来的空气进行燃烧反应得到二氧化硫气体，而后冷却（回收废热），再经SO</w:t>
      </w:r>
      <w:r>
        <w:rPr>
          <w:rFonts w:hint="eastAsia" w:ascii="Times New Roman" w:hAnsi="宋体" w:eastAsia="宋体" w:cs="Times New Roman"/>
          <w:kern w:val="2"/>
          <w:sz w:val="28"/>
          <w:szCs w:val="28"/>
          <w:vertAlign w:val="subscript"/>
        </w:rPr>
        <w:t>3</w:t>
      </w:r>
      <w:r>
        <w:rPr>
          <w:rFonts w:hint="eastAsia" w:ascii="Times New Roman" w:hAnsi="宋体" w:eastAsia="宋体" w:cs="Times New Roman"/>
          <w:kern w:val="2"/>
          <w:sz w:val="28"/>
          <w:szCs w:val="28"/>
        </w:rPr>
        <w:t>脱硫（化学法）、浓硫酸脱水净化得符合要求的二氧化硫气体。</w:t>
      </w:r>
    </w:p>
    <w:p>
      <w:pPr>
        <w:keepNext w:val="0"/>
        <w:keepLines w:val="0"/>
        <w:pageBreakBefore w:val="0"/>
        <w:widowControl w:val="0"/>
        <w:tabs>
          <w:tab w:val="left" w:pos="9000"/>
        </w:tabs>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kern w:val="2"/>
          <w:sz w:val="28"/>
          <w:szCs w:val="28"/>
        </w:rPr>
      </w:pPr>
      <w:r>
        <w:rPr>
          <w:rFonts w:hint="eastAsia" w:ascii="Times New Roman" w:hAnsi="宋体" w:eastAsia="宋体" w:cs="Times New Roman"/>
          <w:kern w:val="2"/>
          <w:sz w:val="28"/>
          <w:szCs w:val="28"/>
        </w:rPr>
        <w:t>将合格二氧化硫气体从第三级焦亚硫酸钠反应釜通入，依次通过第三级、第二级、第一级焦亚硫酸钠，与从第一级焦亚硫酸钠反应釜进入的碳酸钠溶液（以反应母液及尾气吸收液配制）逆流反应，生成焦亚硫酸钠，再经过固液分离，干燥得到固体焦亚硫酸钠。合成尾气、干燥尾气分别经二级碱（碳酸钠溶液）吸收后排放，吸收液返回到碳酸钠溶液配制锅循环使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kern w:val="2"/>
          <w:sz w:val="28"/>
          <w:szCs w:val="28"/>
        </w:rPr>
      </w:pPr>
      <w:r>
        <w:rPr>
          <w:rFonts w:hint="eastAsia" w:ascii="Times New Roman" w:hAnsi="宋体" w:eastAsia="宋体" w:cs="Times New Roman"/>
          <w:kern w:val="2"/>
          <w:sz w:val="28"/>
          <w:szCs w:val="28"/>
        </w:rPr>
        <w:t>主要化学反应方程式：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rPr>
          <w:rFonts w:hint="eastAsia" w:ascii="Times New Roman" w:hAnsi="宋体" w:eastAsia="宋体" w:cs="Times New Roman"/>
          <w:kern w:val="2"/>
          <w:sz w:val="28"/>
          <w:szCs w:val="28"/>
        </w:rPr>
      </w:pPr>
      <w:r>
        <w:rPr>
          <w:rFonts w:ascii="Times New Roman" w:hAnsi="Times New Roman" w:eastAsia="宋体" w:cs="Times New Roman"/>
          <w:kern w:val="2"/>
          <w:sz w:val="28"/>
          <w:szCs w:val="28"/>
        </w:rPr>
        <w:object>
          <v:shape id="_x0000_i1025" o:spt="75" type="#_x0000_t75" style="height:61.85pt;width:354.65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cs="Times New Roman"/>
          <w:kern w:val="2"/>
          <w:sz w:val="28"/>
          <w:szCs w:val="28"/>
          <w:lang w:eastAsia="zh-CN"/>
        </w:rPr>
        <w:t>（</w:t>
      </w:r>
      <w:r>
        <w:rPr>
          <w:rFonts w:hint="eastAsia" w:ascii="宋体" w:hAnsi="宋体" w:cs="Times New Roman"/>
          <w:kern w:val="2"/>
          <w:sz w:val="28"/>
          <w:szCs w:val="28"/>
          <w:lang w:val="en-US" w:eastAsia="zh-CN"/>
        </w:rPr>
        <w:t>2</w:t>
      </w:r>
      <w:r>
        <w:rPr>
          <w:rFonts w:hint="eastAsia" w:ascii="宋体" w:hAnsi="宋体" w:cs="Times New Roman"/>
          <w:kern w:val="2"/>
          <w:sz w:val="28"/>
          <w:szCs w:val="28"/>
          <w:lang w:eastAsia="zh-CN"/>
        </w:rPr>
        <w:t>）</w:t>
      </w:r>
      <w:r>
        <w:rPr>
          <w:rFonts w:hint="eastAsia" w:ascii="宋体" w:hAnsi="宋体" w:eastAsia="宋体" w:cs="Times New Roman"/>
          <w:kern w:val="2"/>
          <w:sz w:val="28"/>
          <w:szCs w:val="28"/>
        </w:rPr>
        <w:t>液体二氧化硫的合成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ascii="Times New Roman" w:hAnsi="宋体" w:eastAsia="宋体" w:cs="Times New Roman"/>
          <w:kern w:val="2"/>
          <w:sz w:val="28"/>
          <w:szCs w:val="28"/>
        </w:rPr>
      </w:pPr>
      <w:r>
        <w:rPr>
          <w:rFonts w:hint="eastAsia" w:ascii="Times New Roman" w:hAnsi="宋体" w:eastAsia="宋体" w:cs="Times New Roman"/>
          <w:kern w:val="2"/>
          <w:sz w:val="28"/>
          <w:szCs w:val="28"/>
        </w:rPr>
        <w:t>将熔融的硫磺通入焚烧炉中，通入纯氧进行燃烧反应得到粗品二氧化硫，而后冷却（回收废热），再经SO</w:t>
      </w:r>
      <w:r>
        <w:rPr>
          <w:rFonts w:hint="eastAsia" w:ascii="Times New Roman" w:hAnsi="宋体" w:eastAsia="宋体" w:cs="Times New Roman"/>
          <w:kern w:val="2"/>
          <w:sz w:val="28"/>
          <w:szCs w:val="28"/>
          <w:vertAlign w:val="subscript"/>
        </w:rPr>
        <w:t>3</w:t>
      </w:r>
      <w:r>
        <w:rPr>
          <w:rFonts w:hint="eastAsia" w:ascii="Times New Roman" w:hAnsi="宋体" w:eastAsia="宋体" w:cs="Times New Roman"/>
          <w:kern w:val="2"/>
          <w:sz w:val="28"/>
          <w:szCs w:val="28"/>
        </w:rPr>
        <w:t>脱硫（化学法）、浓硫酸脱水净化得纯净的二氧化硫气体，而后进入二氧化硫冷凝器，冷凝得到液体二氧化硫。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Times New Roman" w:hAnsi="宋体" w:eastAsia="宋体" w:cs="Times New Roman"/>
          <w:kern w:val="2"/>
          <w:sz w:val="28"/>
          <w:szCs w:val="28"/>
        </w:rPr>
        <w:t>主要化学反应方程式：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eastAsia="宋体" w:cs="Times New Roman"/>
          <w:kern w:val="2"/>
          <w:sz w:val="28"/>
          <w:szCs w:val="28"/>
        </w:rPr>
        <w:t xml:space="preserve">     </w:t>
      </w:r>
      <w:r>
        <w:rPr>
          <w:rFonts w:ascii="Times New Roman" w:hAnsi="Times New Roman" w:eastAsia="宋体" w:cs="Times New Roman"/>
          <w:kern w:val="2"/>
          <w:sz w:val="28"/>
          <w:szCs w:val="28"/>
        </w:rPr>
        <w:object>
          <v:shape id="_x0000_i1026" o:spt="75" type="#_x0000_t75" style="height:27.1pt;width:150.45pt;" o:ole="t" filled="f" o:preferrelative="t" stroked="f" coordsize="21600,21600">
            <v:path/>
            <v:fill on="f" focussize="0,0"/>
            <v:stroke on="f"/>
            <v:imagedata r:id="rId19" o:title=""/>
            <o:lock v:ext="edit" aspectratio="t"/>
            <w10:wrap type="none"/>
            <w10:anchorlock/>
          </v:shape>
          <o:OLEObject Type="Embed" ProgID="Visio.Drawing.11" ShapeID="_x0000_i1026"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cs="Times New Roman"/>
          <w:kern w:val="2"/>
          <w:sz w:val="28"/>
          <w:szCs w:val="28"/>
          <w:lang w:eastAsia="zh-CN"/>
        </w:rPr>
        <w:t>（</w:t>
      </w:r>
      <w:r>
        <w:rPr>
          <w:rFonts w:hint="eastAsia" w:ascii="宋体" w:hAnsi="宋体" w:cs="Times New Roman"/>
          <w:kern w:val="2"/>
          <w:sz w:val="28"/>
          <w:szCs w:val="28"/>
          <w:lang w:val="en-US" w:eastAsia="zh-CN"/>
        </w:rPr>
        <w:t>3</w:t>
      </w:r>
      <w:r>
        <w:rPr>
          <w:rFonts w:hint="eastAsia" w:ascii="宋体" w:hAnsi="宋体" w:cs="Times New Roman"/>
          <w:kern w:val="2"/>
          <w:sz w:val="28"/>
          <w:szCs w:val="28"/>
          <w:lang w:eastAsia="zh-CN"/>
        </w:rPr>
        <w:t>）</w:t>
      </w:r>
      <w:r>
        <w:rPr>
          <w:rFonts w:hint="eastAsia" w:ascii="宋体" w:hAnsi="宋体" w:eastAsia="宋体" w:cs="Times New Roman"/>
          <w:kern w:val="2"/>
          <w:sz w:val="28"/>
          <w:szCs w:val="28"/>
        </w:rPr>
        <w:t>保险粉的合成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eastAsia="宋体" w:cs="Times New Roman"/>
          <w:kern w:val="2"/>
          <w:sz w:val="28"/>
          <w:szCs w:val="28"/>
        </w:rPr>
        <w:t>①合成保险粉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kern w:val="2"/>
          <w:sz w:val="28"/>
          <w:szCs w:val="28"/>
        </w:rPr>
      </w:pPr>
      <w:r>
        <w:rPr>
          <w:rFonts w:hint="eastAsia" w:ascii="Times New Roman" w:hAnsi="宋体" w:eastAsia="宋体" w:cs="Times New Roman"/>
          <w:kern w:val="2"/>
          <w:sz w:val="28"/>
          <w:szCs w:val="28"/>
        </w:rPr>
        <w:t>分别配制甲酸钠悬浮液（采用部分反应母液及水）和焦亚硫酸钠悬浮液（甲醇及部分液体二氧化硫）。将二者压入到保险粉合成釜中，压入环氧乙烷，滴加液体二氧化硫，密闭反应至完毕，再经过固液分离（压滤）、甲醇洗涤（洗涤液去中和生产亚硫酸钠）和真空干燥得保险粉。合成母液大部分（合格母液）回用配制甲酸钠悬浮液，小部分（不合格母液）去中和生产亚硫酸钠。压料（输送甲酸钠悬浮液及焦亚硫酸钠悬浮液）尾气和合成反应尾气经冷甲醇吸收（吸收液返回焦亚硫酸钠悬浮液配制）、二级碱吸收（吸收液去中和生产亚硫酸钠）后，部分去气柜回用，另一部分去锅炉焚烧；压滤保险粉合成液及压滤保险粉洗涤液尾气经冷冻冷凝（冷凝液返回焦亚硫酸钠悬浮液配制）、二级碱吸收（吸收液去中和生产亚硫酸钠）后，部分去气柜回用，另一部分去锅炉焚烧；真空干燥保险粉尾气经气液分离（冷凝液去中和生产亚硫酸钠）、二级碱吸收（吸收液去中和生产亚硫酸钠），而后去锅炉焚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kern w:val="2"/>
          <w:sz w:val="28"/>
          <w:szCs w:val="28"/>
        </w:rPr>
      </w:pPr>
      <w:r>
        <w:rPr>
          <w:rFonts w:hint="eastAsia" w:ascii="Times New Roman" w:hAnsi="宋体" w:eastAsia="宋体" w:cs="Times New Roman"/>
          <w:kern w:val="2"/>
          <w:sz w:val="28"/>
          <w:szCs w:val="28"/>
        </w:rPr>
        <w:t>主要化学反应：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Times New Roman" w:eastAsia="宋体" w:cs="Times New Roman"/>
          <w:kern w:val="2"/>
          <w:sz w:val="28"/>
          <w:szCs w:val="28"/>
        </w:rPr>
      </w:pPr>
      <w:r>
        <w:rPr>
          <w:rFonts w:ascii="Times New Roman" w:hAnsi="Times New Roman" w:eastAsia="宋体" w:cs="Times New Roman"/>
          <w:kern w:val="2"/>
          <w:sz w:val="28"/>
          <w:szCs w:val="28"/>
        </w:rPr>
        <w:object>
          <v:shape id="_x0000_i1027" o:spt="75" type="#_x0000_t75" style="height:40.8pt;width:410.9pt;" o:ole="t" filled="f" o:preferrelative="t" stroked="f" coordsize="21600,21600">
            <v:path/>
            <v:fill on="f" alignshape="1" focussize="0,0"/>
            <v:stroke on="f"/>
            <v:imagedata r:id="rId21" grayscale="f" bilevel="f" o:title=""/>
            <o:lock v:ext="edit" aspectratio="t"/>
            <w10:wrap type="none"/>
            <w10:anchorlock/>
          </v:shape>
          <o:OLEObject Type="Embed" ProgID="Visio.Drawing.11" ShapeID="_x0000_i1027" DrawAspect="Content" ObjectID="_1468075727" r:id="rId20">
            <o:LockedField>false</o:LockedField>
          </o:OLEObject>
        </w:object>
      </w:r>
      <w:r>
        <w:rPr>
          <w:rFonts w:hint="eastAsia" w:ascii="Times New Roman" w:hAnsi="Times New Roman" w:eastAsia="宋体" w:cs="Times New Roman"/>
          <w:kern w:val="2"/>
          <w:sz w:val="28"/>
          <w:szCs w:val="28"/>
        </w:rPr>
        <w:t xml:space="preserve">      副反应：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Times New Roman" w:eastAsia="宋体" w:cs="Times New Roman"/>
          <w:kern w:val="2"/>
          <w:sz w:val="28"/>
          <w:szCs w:val="28"/>
        </w:rPr>
      </w:pPr>
      <w:r>
        <w:rPr>
          <w:rFonts w:ascii="Times New Roman" w:hAnsi="Times New Roman" w:eastAsia="宋体" w:cs="Times New Roman"/>
          <w:kern w:val="2"/>
          <w:sz w:val="28"/>
          <w:szCs w:val="28"/>
        </w:rPr>
        <w:object>
          <v:shape id="_x0000_i1028" o:spt="75" type="#_x0000_t75" style="height:248.6pt;width:450.9pt;" o:ole="t" filled="f" o:preferrelative="t" stroked="f" coordsize="21600,21600">
            <v:path/>
            <v:fill on="f" focussize="0,0"/>
            <v:stroke on="f"/>
            <v:imagedata r:id="rId23" o:title=""/>
            <o:lock v:ext="edit" aspectratio="t"/>
            <w10:wrap type="none"/>
            <w10:anchorlock/>
          </v:shape>
          <o:OLEObject Type="Embed" ProgID="Visio.Drawing.11" ShapeID="_x0000_i1028" DrawAspect="Content" ObjectID="_1468075728" r:id="rId22">
            <o:LockedField>false</o:LockedField>
          </o:OLEObject>
        </w:object>
      </w:r>
      <w:r>
        <w:rPr>
          <w:rFonts w:hint="eastAsia" w:ascii="Times New Roman" w:hAnsi="Times New Roman" w:eastAsia="宋体" w:cs="Times New Roman"/>
          <w:kern w:val="2"/>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eastAsia="宋体" w:cs="Times New Roman"/>
          <w:kern w:val="2"/>
          <w:sz w:val="28"/>
          <w:szCs w:val="28"/>
        </w:rPr>
        <w:t>②合成亚硫酸钠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kern w:val="2"/>
          <w:sz w:val="28"/>
          <w:szCs w:val="28"/>
        </w:rPr>
      </w:pPr>
      <w:r>
        <w:rPr>
          <w:rFonts w:hint="eastAsia" w:ascii="Times New Roman" w:hAnsi="宋体" w:eastAsia="宋体" w:cs="Times New Roman"/>
          <w:kern w:val="2"/>
          <w:sz w:val="28"/>
          <w:szCs w:val="28"/>
        </w:rPr>
        <w:t>将保险粉合成的不合格母液、甲醇洗涤液、尾气吸收液及后续残液蒸发冷凝液置于中和锅中，加入适量烧碱</w:t>
      </w:r>
      <w:r>
        <w:rPr>
          <w:rFonts w:hint="eastAsia" w:ascii="宋体" w:hAnsi="宋体" w:eastAsia="宋体" w:cs="Times New Roman"/>
          <w:kern w:val="2"/>
          <w:sz w:val="28"/>
          <w:szCs w:val="28"/>
        </w:rPr>
        <w:t>溶液（以32%氢氧化钠溶液与后续蒸发废水配得）进行中和反应，生成亚硫酸钠晶体；再经过固液分离（压滤</w:t>
      </w:r>
      <w:r>
        <w:rPr>
          <w:rFonts w:hint="eastAsia" w:ascii="Times New Roman" w:hAnsi="宋体" w:eastAsia="宋体" w:cs="Times New Roman"/>
          <w:kern w:val="2"/>
          <w:sz w:val="28"/>
          <w:szCs w:val="28"/>
        </w:rPr>
        <w:t>）、甲醇洗涤（洗涤液去精馏回收甲醇）及真空干燥得亚硫酸钠。中和母液去精馏。压滤亚硫酸钠反应液及压滤亚硫酸钠洗涤液尾气经冷冻冷凝（冷凝液返回焦亚硫酸钠悬浮液配制）、二级碱吸收（吸收液去中和生产亚硫酸钠）后，部分去气柜回用，另一部分去锅炉焚烧；真空干燥亚硫酸钠尾气经气液分离（冷凝液去中和生产亚硫酸钠）、二级碱吸收（吸收液去中和生产亚硫酸钠），而后去锅炉焚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kern w:val="2"/>
          <w:sz w:val="28"/>
          <w:szCs w:val="28"/>
        </w:rPr>
      </w:pPr>
      <w:r>
        <w:rPr>
          <w:rFonts w:hint="eastAsia" w:ascii="Times New Roman" w:hAnsi="宋体" w:eastAsia="宋体" w:cs="Times New Roman"/>
          <w:kern w:val="2"/>
          <w:sz w:val="28"/>
          <w:szCs w:val="28"/>
        </w:rPr>
        <w:t>主要化学反应：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Times New Roman" w:eastAsia="宋体" w:cs="Times New Roman"/>
          <w:kern w:val="2"/>
          <w:sz w:val="28"/>
          <w:szCs w:val="28"/>
        </w:rPr>
      </w:pPr>
      <w:r>
        <w:rPr>
          <w:rFonts w:ascii="Times New Roman" w:hAnsi="Times New Roman" w:eastAsia="宋体" w:cs="Times New Roman"/>
          <w:kern w:val="2"/>
          <w:sz w:val="28"/>
          <w:szCs w:val="28"/>
        </w:rPr>
        <w:object>
          <v:shape id="_x0000_i1029" o:spt="75" type="#_x0000_t75" style="height:63.6pt;width:340.85pt;" o:ole="t" filled="f" o:preferrelative="t" stroked="f" coordsize="21600,21600">
            <v:path/>
            <v:fill on="f" focussize="0,0"/>
            <v:stroke on="f"/>
            <v:imagedata r:id="rId25" o:title=""/>
            <o:lock v:ext="edit" aspectratio="t"/>
            <w10:wrap type="none"/>
            <w10:anchorlock/>
          </v:shape>
          <o:OLEObject Type="Embed" ProgID="Visio.Drawing.11" ShapeID="_x0000_i1029" DrawAspect="Content" ObjectID="_1468075729" r:id="rId2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eastAsia="宋体" w:cs="Times New Roman"/>
          <w:kern w:val="2"/>
          <w:sz w:val="28"/>
          <w:szCs w:val="28"/>
        </w:rPr>
        <w:t>③回收甲醇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eastAsia="宋体" w:cs="Times New Roman"/>
          <w:kern w:val="2"/>
          <w:sz w:val="28"/>
          <w:szCs w:val="28"/>
        </w:rPr>
        <w:t>将上述中和母液及甲醇洗涤液置于精馏釜中，精馏回收甲醇，循环使用。精馏残液去回收甲酸钠。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宋体" w:hAnsi="宋体" w:eastAsia="宋体" w:cs="Times New Roman"/>
          <w:kern w:val="2"/>
          <w:sz w:val="28"/>
          <w:szCs w:val="28"/>
        </w:rPr>
      </w:pPr>
      <w:r>
        <w:rPr>
          <w:rFonts w:hint="eastAsia" w:ascii="宋体" w:hAnsi="宋体" w:eastAsia="宋体" w:cs="Times New Roman"/>
          <w:kern w:val="2"/>
          <w:sz w:val="28"/>
          <w:szCs w:val="28"/>
        </w:rPr>
        <w:t>④回收甲酸钠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eastAsia" w:ascii="Times New Roman" w:hAnsi="宋体" w:eastAsia="宋体" w:cs="Times New Roman"/>
          <w:kern w:val="2"/>
          <w:sz w:val="28"/>
          <w:szCs w:val="28"/>
        </w:rPr>
      </w:pPr>
      <w:r>
        <w:rPr>
          <w:rFonts w:hint="eastAsia" w:ascii="宋体" w:hAnsi="宋体" w:eastAsia="宋体" w:cs="Times New Roman"/>
          <w:kern w:val="2"/>
          <w:sz w:val="28"/>
          <w:szCs w:val="28"/>
        </w:rPr>
        <w:t>将上述精馏残液经两效蒸发（真空条件下）、用甲醇固化生成甲酸钠，而后压滤、</w:t>
      </w:r>
      <w:r>
        <w:rPr>
          <w:rFonts w:hint="eastAsia" w:ascii="Times New Roman" w:hAnsi="宋体" w:eastAsia="宋体" w:cs="Times New Roman"/>
          <w:kern w:val="2"/>
          <w:sz w:val="28"/>
          <w:szCs w:val="28"/>
        </w:rPr>
        <w:t>甲醇洗涤（洗涤液去蒸发）和真空干燥得甲酸钠，作为原料返回使用。回收两效蒸发冷凝液大部分返回前述甲酸钠悬浮液配制及碱液配制，少部分去污水处理；固化母液及甲醇洗涤液经蒸发回收稀甲醇返回亚硫酸钠工段，压滤尾气经冷冻冷凝（冷凝液返回焦亚硫酸钠悬浮液配制）、二级碱吸收（吸收液去中和生产亚硫酸钠）后部分回用，部分去锅炉焚烧；两效蒸发真空尾气及甲酸钠真空干燥尾气经气液分离（冷凝液去中和生产亚硫酸钠）、二级碱吸收（吸收液去中和生产亚硫酸钠），而后去锅炉焚烧。</w:t>
      </w:r>
    </w:p>
    <w:p>
      <w:pPr>
        <w:keepNext w:val="0"/>
        <w:keepLines w:val="0"/>
        <w:pageBreakBefore w:val="0"/>
        <w:kinsoku/>
        <w:wordWrap/>
        <w:overflowPunct/>
        <w:topLinePunct w:val="0"/>
        <w:autoSpaceDE/>
        <w:autoSpaceDN/>
        <w:bidi w:val="0"/>
        <w:spacing w:line="360" w:lineRule="auto"/>
        <w:ind w:left="0" w:leftChars="0" w:right="0" w:rightChars="0" w:firstLine="560" w:firstLineChars="200"/>
        <w:jc w:val="both"/>
        <w:textAlignment w:val="auto"/>
        <w:rPr>
          <w:rFonts w:hint="default" w:ascii="Times New Roman" w:hAnsi="Times New Roman" w:cs="Times New Roman"/>
          <w:sz w:val="28"/>
          <w:szCs w:val="28"/>
          <w:highlight w:val="none"/>
          <w:lang w:val="en-US" w:eastAsia="zh-CN"/>
        </w:rPr>
      </w:pPr>
      <w:r>
        <w:rPr>
          <w:rFonts w:hint="eastAsia" w:ascii="Times New Roman" w:hAnsi="宋体" w:eastAsia="宋体" w:cs="Times New Roman"/>
          <w:kern w:val="2"/>
          <w:sz w:val="28"/>
          <w:szCs w:val="28"/>
        </w:rPr>
        <w:t>蒸发残液为危险固废，送有危废处理资质的单位处理。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560" w:firstLineChars="200"/>
        <w:contextualSpacing/>
        <w:textAlignment w:val="auto"/>
        <w:rPr>
          <w:rFonts w:hint="eastAsia" w:ascii="Times New Roman" w:hAnsi="Times New Roman" w:cs="Times New Roman"/>
          <w:color w:val="auto"/>
          <w:sz w:val="28"/>
          <w:szCs w:val="28"/>
          <w:lang w:eastAsia="zh-CN"/>
        </w:rPr>
      </w:pPr>
      <w:r>
        <w:rPr>
          <w:rFonts w:hint="default" w:ascii="Times New Roman" w:hAnsi="Times New Roman" w:cs="Times New Roman"/>
          <w:color w:val="auto"/>
          <w:sz w:val="28"/>
          <w:szCs w:val="28"/>
        </w:rPr>
        <w:t>生产工艺流程图</w:t>
      </w:r>
      <w:r>
        <w:rPr>
          <w:rFonts w:hint="eastAsia" w:ascii="Times New Roman" w:hAnsi="Times New Roman" w:cs="Times New Roman"/>
          <w:color w:val="auto"/>
          <w:sz w:val="28"/>
          <w:szCs w:val="28"/>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560" w:firstLineChars="200"/>
        <w:contextualSpacing/>
        <w:textAlignment w:val="auto"/>
        <w:rPr>
          <w:rFonts w:hint="eastAsia" w:ascii="Times New Roman" w:hAnsi="Times New Roman" w:cs="Times New Roman"/>
          <w:color w:val="auto"/>
          <w:sz w:val="28"/>
          <w:szCs w:val="28"/>
          <w:lang w:eastAsia="zh-CN"/>
        </w:rPr>
        <w:sectPr>
          <w:headerReference r:id="rId12" w:type="default"/>
          <w:footerReference r:id="rId13" w:type="default"/>
          <w:pgSz w:w="11905" w:h="16838"/>
          <w:pgMar w:top="1134" w:right="1134" w:bottom="1134" w:left="1134" w:header="709" w:footer="709" w:gutter="0"/>
          <w:pgBorders>
            <w:top w:val="none" w:sz="0" w:space="0"/>
            <w:left w:val="none" w:sz="0" w:space="0"/>
            <w:bottom w:val="none" w:sz="0" w:space="0"/>
            <w:right w:val="none" w:sz="0" w:space="0"/>
          </w:pgBorders>
          <w:pgNumType w:fmt="decimal" w:start="1"/>
          <w:cols w:space="0" w:num="1"/>
          <w:rtlGutter w:val="0"/>
          <w:docGrid w:linePitch="360" w:charSpace="0"/>
        </w:sectPr>
      </w:pPr>
      <w:r>
        <w:rPr>
          <w:sz w:val="28"/>
        </w:rPr>
        <mc:AlternateContent>
          <mc:Choice Requires="wps">
            <w:drawing>
              <wp:anchor distT="0" distB="0" distL="114300" distR="114300" simplePos="0" relativeHeight="251663360" behindDoc="0" locked="0" layoutInCell="1" allowOverlap="1">
                <wp:simplePos x="0" y="0"/>
                <wp:positionH relativeFrom="column">
                  <wp:posOffset>752475</wp:posOffset>
                </wp:positionH>
                <wp:positionV relativeFrom="paragraph">
                  <wp:posOffset>4954270</wp:posOffset>
                </wp:positionV>
                <wp:extent cx="4491355" cy="379730"/>
                <wp:effectExtent l="0" t="0" r="4445" b="1270"/>
                <wp:wrapNone/>
                <wp:docPr id="63" name="文本框 63"/>
                <wp:cNvGraphicFramePr/>
                <a:graphic xmlns:a="http://schemas.openxmlformats.org/drawingml/2006/main">
                  <a:graphicData uri="http://schemas.microsoft.com/office/word/2010/wordprocessingShape">
                    <wps:wsp>
                      <wps:cNvSpPr txBox="1"/>
                      <wps:spPr>
                        <a:xfrm>
                          <a:off x="0" y="0"/>
                          <a:ext cx="4491355" cy="379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 xml:space="preserve">图 </w:t>
                            </w:r>
                            <w:r>
                              <w:rPr>
                                <w:rFonts w:hint="default" w:ascii="Times New Roman" w:hAnsi="Times New Roman" w:cs="Times New Roman"/>
                                <w:b/>
                                <w:bCs/>
                                <w:sz w:val="21"/>
                                <w:szCs w:val="21"/>
                                <w:lang w:val="en-US" w:eastAsia="zh-CN"/>
                              </w:rPr>
                              <w:t>2-</w:t>
                            </w:r>
                            <w:r>
                              <w:rPr>
                                <w:rFonts w:hint="eastAsia" w:ascii="Times New Roman" w:hAnsi="Times New Roman" w:cs="Times New Roman"/>
                                <w:b/>
                                <w:bCs/>
                                <w:sz w:val="21"/>
                                <w:szCs w:val="21"/>
                                <w:lang w:val="en-US" w:eastAsia="zh-CN"/>
                              </w:rPr>
                              <w:t>1 保险粉合成工艺流程及产物环节图一 焦亚硫酸钠 液体SO</w:t>
                            </w:r>
                            <w:r>
                              <w:rPr>
                                <w:rFonts w:hint="eastAsia" w:ascii="Times New Roman" w:hAnsi="Times New Roman" w:cs="Times New Roman"/>
                                <w:b/>
                                <w:bCs/>
                                <w:sz w:val="21"/>
                                <w:szCs w:val="21"/>
                                <w:vertAlign w:val="subscript"/>
                                <w:lang w:val="en-US" w:eastAsia="zh-CN"/>
                              </w:rPr>
                              <w:t>2</w:t>
                            </w:r>
                            <w:r>
                              <w:rPr>
                                <w:rFonts w:hint="eastAsia" w:ascii="Times New Roman" w:hAnsi="Times New Roman" w:cs="Times New Roman"/>
                                <w:b/>
                                <w:bCs/>
                                <w:sz w:val="21"/>
                                <w:szCs w:val="21"/>
                                <w:vertAlign w:val="baseline"/>
                                <w:lang w:val="en-US" w:eastAsia="zh-CN"/>
                              </w:rPr>
                              <w:t>的合成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5pt;margin-top:390.1pt;height:29.9pt;width:353.65pt;z-index:251663360;mso-width-relative:page;mso-height-relative:page;" fillcolor="#FFFFFF [3201]" filled="t" stroked="f" coordsize="21600,21600" o:gfxdata="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ot+ztUAAAALAQAADwAA&#10;AAAAAAABACAAAAAiAAAAZHJzL2Rvd25yZXYueG1sUEsBAhQAFAAAAAgAh07iQPo8BmJSAgAAkQQA&#10;AA4AAAAAAAAAAQAgAAAAJAEAAGRycy9lMm9Eb2MueG1sUEsFBgAAAAAGAAYAWQEAAOgFAAAAAA==&#10;">
                <v:fill on="t"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 xml:space="preserve">图 </w:t>
                      </w:r>
                      <w:r>
                        <w:rPr>
                          <w:rFonts w:hint="default" w:ascii="Times New Roman" w:hAnsi="Times New Roman" w:cs="Times New Roman"/>
                          <w:b/>
                          <w:bCs/>
                          <w:sz w:val="21"/>
                          <w:szCs w:val="21"/>
                          <w:lang w:val="en-US" w:eastAsia="zh-CN"/>
                        </w:rPr>
                        <w:t>2-</w:t>
                      </w:r>
                      <w:r>
                        <w:rPr>
                          <w:rFonts w:hint="eastAsia" w:ascii="Times New Roman" w:hAnsi="Times New Roman" w:cs="Times New Roman"/>
                          <w:b/>
                          <w:bCs/>
                          <w:sz w:val="21"/>
                          <w:szCs w:val="21"/>
                          <w:lang w:val="en-US" w:eastAsia="zh-CN"/>
                        </w:rPr>
                        <w:t>1 保险粉合成工艺流程及产物环节图一 焦亚硫酸钠 液体SO</w:t>
                      </w:r>
                      <w:r>
                        <w:rPr>
                          <w:rFonts w:hint="eastAsia" w:ascii="Times New Roman" w:hAnsi="Times New Roman" w:cs="Times New Roman"/>
                          <w:b/>
                          <w:bCs/>
                          <w:sz w:val="21"/>
                          <w:szCs w:val="21"/>
                          <w:vertAlign w:val="subscript"/>
                          <w:lang w:val="en-US" w:eastAsia="zh-CN"/>
                        </w:rPr>
                        <w:t>2</w:t>
                      </w:r>
                      <w:r>
                        <w:rPr>
                          <w:rFonts w:hint="eastAsia" w:ascii="Times New Roman" w:hAnsi="Times New Roman" w:cs="Times New Roman"/>
                          <w:b/>
                          <w:bCs/>
                          <w:sz w:val="21"/>
                          <w:szCs w:val="21"/>
                          <w:vertAlign w:val="baseline"/>
                          <w:lang w:val="en-US" w:eastAsia="zh-CN"/>
                        </w:rPr>
                        <w:t>的合成</w:t>
                      </w:r>
                    </w:p>
                  </w:txbxContent>
                </v:textbox>
              </v:shape>
            </w:pict>
          </mc:Fallback>
        </mc:AlternateContent>
      </w:r>
      <w:r>
        <w:rPr>
          <w:color w:val="FF0000"/>
        </w:rPr>
        <w:object>
          <v:shape id="_x0000_i1030" o:spt="75" type="#_x0000_t75" style="height:382.3pt;width:392.3pt;" o:ole="t" filled="f" o:preferrelative="t" stroked="f" coordsize="21600,21600">
            <v:path/>
            <v:fill on="f" focussize="0,0"/>
            <v:stroke on="f"/>
            <v:imagedata r:id="rId27" cropleft="27081f" cropbottom="3163f" o:title=""/>
            <o:lock v:ext="edit" aspectratio="f"/>
            <w10:wrap type="none"/>
            <w10:anchorlock/>
          </v:shape>
          <o:OLEObject Type="Embed" ProgID="Visio.Drawing.11" ShapeID="_x0000_i1030" DrawAspect="Content" ObjectID="_1468075730" r:id="rId26">
            <o:LockedField>false</o:LockedField>
          </o:OLEObject>
        </w:object>
      </w:r>
    </w:p>
    <w:p>
      <w:pPr>
        <w:pStyle w:val="2"/>
        <w:ind w:left="0" w:leftChars="0" w:firstLine="0" w:firstLineChars="0"/>
        <w:rPr>
          <w:rFonts w:hint="eastAsia"/>
          <w:lang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1472565</wp:posOffset>
                </wp:positionH>
                <wp:positionV relativeFrom="paragraph">
                  <wp:posOffset>4864100</wp:posOffset>
                </wp:positionV>
                <wp:extent cx="619760" cy="370205"/>
                <wp:effectExtent l="0" t="0" r="5080" b="10795"/>
                <wp:wrapNone/>
                <wp:docPr id="3" name="文本框 3"/>
                <wp:cNvGraphicFramePr/>
                <a:graphic xmlns:a="http://schemas.openxmlformats.org/drawingml/2006/main">
                  <a:graphicData uri="http://schemas.microsoft.com/office/word/2010/wordprocessingShape">
                    <wps:wsp>
                      <wps:cNvSpPr txBox="1"/>
                      <wps:spPr>
                        <a:xfrm>
                          <a:off x="2135505" y="5574665"/>
                          <a:ext cx="619760" cy="370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图2-1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95pt;margin-top:383pt;height:29.15pt;width:48.8pt;z-index:251661312;mso-width-relative:page;mso-height-relative:page;" fillcolor="#FFFFFF [3201]" filled="t" stroked="f" coordsize="21600,21600" o:gfxdata="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0B2v&#10;1wAAAAsBAAAPAAAAAAAAAAEAIAAAACIAAABkcnMvZG93bnJldi54bWxQSwECFAAUAAAACACHTuJA&#10;S1TqqVsCAACaBAAADgAAAAAAAAABACAAAAAmAQAAZHJzL2Uyb0RvYy54bWxQSwUGAAAAAAYABgBZ&#10;AQAA8wUAAAAA&#10;">
                <v:fill on="t" focussize="0,0"/>
                <v:stroke on="f" weight="0.5pt"/>
                <v:imagedata o:title=""/>
                <o:lock v:ext="edit" aspectratio="f"/>
                <v:textbox>
                  <w:txbxContent>
                    <w:p>
                      <w:pPr>
                        <w:ind w:left="0" w:leftChars="0" w:firstLine="0" w:firstLineChars="0"/>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图2-1</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line="360" w:lineRule="auto"/>
        <w:ind w:firstLine="482"/>
        <w:jc w:val="center"/>
        <w:textAlignment w:val="auto"/>
        <w:rPr>
          <w:rFonts w:hint="default" w:ascii="Times New Roman" w:hAnsi="Times New Roman" w:cs="Times New Roman"/>
          <w:b/>
          <w:bCs/>
          <w:color w:val="FF0000"/>
          <w:sz w:val="24"/>
          <w:highlight w:val="none"/>
        </w:rPr>
      </w:pPr>
      <w:r>
        <w:rPr>
          <w:sz w:val="28"/>
        </w:rPr>
        <mc:AlternateContent>
          <mc:Choice Requires="wps">
            <w:drawing>
              <wp:anchor distT="0" distB="0" distL="114300" distR="114300" simplePos="0" relativeHeight="251662336" behindDoc="0" locked="0" layoutInCell="1" allowOverlap="1">
                <wp:simplePos x="0" y="0"/>
                <wp:positionH relativeFrom="column">
                  <wp:posOffset>2918460</wp:posOffset>
                </wp:positionH>
                <wp:positionV relativeFrom="paragraph">
                  <wp:posOffset>5288915</wp:posOffset>
                </wp:positionV>
                <wp:extent cx="749300" cy="379730"/>
                <wp:effectExtent l="0" t="0" r="12700" b="1270"/>
                <wp:wrapNone/>
                <wp:docPr id="18" name="文本框 18"/>
                <wp:cNvGraphicFramePr/>
                <a:graphic xmlns:a="http://schemas.openxmlformats.org/drawingml/2006/main">
                  <a:graphicData uri="http://schemas.microsoft.com/office/word/2010/wordprocessingShape">
                    <wps:wsp>
                      <wps:cNvSpPr txBox="1"/>
                      <wps:spPr>
                        <a:xfrm>
                          <a:off x="0" y="0"/>
                          <a:ext cx="749300" cy="379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 xml:space="preserve">图 </w:t>
                            </w:r>
                            <w:r>
                              <w:rPr>
                                <w:rFonts w:hint="default" w:ascii="Times New Roman" w:hAnsi="Times New Roman" w:cs="Times New Roman"/>
                                <w:b/>
                                <w:bCs/>
                                <w:sz w:val="21"/>
                                <w:szCs w:val="21"/>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8pt;margin-top:416.45pt;height:29.9pt;width:59pt;z-index:251662336;mso-width-relative:page;mso-height-relative:page;" fillcolor="#FFFFFF [3201]" filled="t" stroked="f" coordsize="21600,21600" o:gfxdata="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4VAWvXAAAACwEAAA8A&#10;AAAAAAAAAQAgAAAAIgAAAGRycy9kb3ducmV2LnhtbFBLAQIUABQAAAAIAIdO4kDBo2IvUQIAAJAE&#10;AAAOAAAAAAAAAAEAIAAAACYBAABkcnMvZTJvRG9jLnhtbFBLBQYAAAAABgAGAFkBAADpBQAAAAA=&#10;">
                <v:fill on="t"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 xml:space="preserve">图 </w:t>
                      </w:r>
                      <w:r>
                        <w:rPr>
                          <w:rFonts w:hint="default" w:ascii="Times New Roman" w:hAnsi="Times New Roman" w:cs="Times New Roman"/>
                          <w:b/>
                          <w:bCs/>
                          <w:sz w:val="21"/>
                          <w:szCs w:val="21"/>
                          <w:lang w:val="en-US" w:eastAsia="zh-CN"/>
                        </w:rPr>
                        <w:t>2-2</w:t>
                      </w:r>
                    </w:p>
                  </w:txbxContent>
                </v:textbox>
              </v:shape>
            </w:pict>
          </mc:Fallback>
        </mc:AlternateContent>
      </w:r>
      <w:r>
        <w:object>
          <v:shape id="_x0000_i1031" o:spt="75" type="#_x0000_t75" style="height:434.3pt;width:732.9pt;" o:ole="t" filled="f" o:preferrelative="t" stroked="f" coordsize="21600,21600">
            <v:path/>
            <v:fill on="f" focussize="0,0"/>
            <v:stroke on="f"/>
            <v:imagedata r:id="rId29" o:title=""/>
            <o:lock v:ext="edit" aspectratio="t"/>
            <w10:wrap type="none"/>
            <w10:anchorlock/>
          </v:shape>
          <o:OLEObject Type="Embed" ProgID="Visio.Drawing.11" ShapeID="_x0000_i1031" DrawAspect="Content" ObjectID="_1468075731" r:id="rId28">
            <o:LockedField>false</o:LockedField>
          </o:OLEObject>
        </w:object>
      </w:r>
    </w:p>
    <w:p>
      <w:pPr>
        <w:keepNext w:val="0"/>
        <w:keepLines w:val="0"/>
        <w:pageBreakBefore w:val="0"/>
        <w:widowControl/>
        <w:kinsoku/>
        <w:wordWrap/>
        <w:overflowPunct/>
        <w:topLinePunct w:val="0"/>
        <w:autoSpaceDE/>
        <w:autoSpaceDN/>
        <w:bidi w:val="0"/>
        <w:adjustRightInd w:val="0"/>
        <w:snapToGrid w:val="0"/>
        <w:ind w:firstLine="562" w:firstLineChars="200"/>
        <w:textAlignment w:val="auto"/>
        <w:rPr>
          <w:rFonts w:hint="default" w:ascii="Times New Roman" w:hAnsi="Times New Roman" w:cs="Times New Roman"/>
          <w:b/>
          <w:bCs/>
          <w:lang w:val="en-US" w:eastAsia="zh-CN"/>
        </w:rPr>
        <w:sectPr>
          <w:pgSz w:w="16838" w:h="11905" w:orient="landscape"/>
          <w:pgMar w:top="1134" w:right="1134" w:bottom="1134" w:left="1134"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p>
      <w:pPr>
        <w:keepNext w:val="0"/>
        <w:keepLines w:val="0"/>
        <w:pageBreakBefore w:val="0"/>
        <w:widowControl/>
        <w:kinsoku/>
        <w:wordWrap/>
        <w:overflowPunct/>
        <w:topLinePunct w:val="0"/>
        <w:autoSpaceDE/>
        <w:autoSpaceDN/>
        <w:bidi w:val="0"/>
        <w:adjustRightInd w:val="0"/>
        <w:snapToGrid w:val="0"/>
        <w:ind w:firstLine="562" w:firstLineChars="200"/>
        <w:textAlignment w:val="auto"/>
        <w:rPr>
          <w:rFonts w:hint="default" w:ascii="Times New Roman" w:hAnsi="Times New Roman" w:cs="Times New Roman"/>
          <w:b/>
          <w:bCs/>
          <w:lang w:eastAsia="zh-CN"/>
        </w:rPr>
      </w:pPr>
      <w:r>
        <w:rPr>
          <w:rFonts w:hint="default" w:ascii="Times New Roman" w:hAnsi="Times New Roman" w:cs="Times New Roman"/>
          <w:b/>
          <w:bCs/>
          <w:lang w:val="en-US" w:eastAsia="zh-CN"/>
        </w:rPr>
        <w:t>项目</w:t>
      </w:r>
      <w:r>
        <w:rPr>
          <w:rFonts w:hint="default" w:ascii="Times New Roman" w:hAnsi="Times New Roman" w:cs="Times New Roman"/>
          <w:b/>
          <w:bCs/>
        </w:rPr>
        <w:t>产排污情况</w:t>
      </w:r>
      <w:r>
        <w:rPr>
          <w:rFonts w:hint="default" w:ascii="Times New Roman" w:hAnsi="Times New Roman" w:cs="Times New Roman"/>
          <w:b/>
          <w:bCs/>
          <w:lang w:eastAsia="zh-CN"/>
        </w:rPr>
        <w:t>：</w:t>
      </w:r>
    </w:p>
    <w:p>
      <w:pPr>
        <w:pStyle w:val="87"/>
        <w:keepNext w:val="0"/>
        <w:keepLines w:val="0"/>
        <w:pageBreakBefore w:val="0"/>
        <w:widowControl/>
        <w:kinsoku/>
        <w:wordWrap/>
        <w:overflowPunct/>
        <w:topLinePunct w:val="0"/>
        <w:autoSpaceDE/>
        <w:autoSpaceDN/>
        <w:bidi w:val="0"/>
        <w:adjustRightInd w:val="0"/>
        <w:snapToGrid w:val="0"/>
        <w:spacing w:line="240" w:lineRule="auto"/>
        <w:ind w:firstLine="241" w:firstLineChars="100"/>
        <w:jc w:val="center"/>
        <w:textAlignment w:val="auto"/>
        <w:rPr>
          <w:rFonts w:hint="default" w:ascii="Times New Roman" w:hAnsi="Times New Roman" w:eastAsia="宋体" w:cs="Times New Roman"/>
          <w:b/>
          <w:bCs/>
          <w:snapToGrid w:val="0"/>
          <w:spacing w:val="0"/>
          <w:kern w:val="0"/>
          <w:szCs w:val="24"/>
        </w:rPr>
      </w:pPr>
      <w:r>
        <w:rPr>
          <w:rFonts w:hint="default" w:ascii="Times New Roman" w:hAnsi="Times New Roman" w:eastAsia="宋体" w:cs="Times New Roman"/>
          <w:b/>
          <w:bCs/>
          <w:snapToGrid w:val="0"/>
          <w:spacing w:val="0"/>
          <w:kern w:val="0"/>
          <w:szCs w:val="24"/>
        </w:rPr>
        <w:t>表</w:t>
      </w:r>
      <w:r>
        <w:rPr>
          <w:rFonts w:hint="default" w:ascii="Times New Roman" w:hAnsi="Times New Roman" w:eastAsia="宋体" w:cs="Times New Roman"/>
          <w:b/>
          <w:bCs/>
          <w:snapToGrid w:val="0"/>
          <w:spacing w:val="0"/>
          <w:kern w:val="0"/>
          <w:szCs w:val="24"/>
          <w:lang w:val="en-US" w:eastAsia="zh-CN"/>
        </w:rPr>
        <w:t>2-9</w:t>
      </w:r>
      <w:r>
        <w:rPr>
          <w:rFonts w:hint="default" w:ascii="Times New Roman" w:hAnsi="Times New Roman" w:eastAsia="宋体" w:cs="Times New Roman"/>
          <w:b/>
          <w:bCs/>
          <w:snapToGrid w:val="0"/>
          <w:spacing w:val="0"/>
          <w:kern w:val="0"/>
          <w:szCs w:val="24"/>
        </w:rPr>
        <w:t xml:space="preserve">  本工程工艺过程产污环节一览表</w:t>
      </w:r>
    </w:p>
    <w:tbl>
      <w:tblPr>
        <w:tblStyle w:val="21"/>
        <w:tblW w:w="9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1"/>
        <w:gridCol w:w="1109"/>
        <w:gridCol w:w="2835"/>
        <w:gridCol w:w="5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项 目</w:t>
            </w:r>
          </w:p>
        </w:tc>
        <w:tc>
          <w:tcPr>
            <w:tcW w:w="110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排放源</w:t>
            </w: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产污环节</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eastAsia"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废气</w:t>
            </w:r>
          </w:p>
        </w:tc>
        <w:tc>
          <w:tcPr>
            <w:tcW w:w="1109"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焦亚硫酸钠生产装置</w:t>
            </w: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焦亚硫酸钠合成</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2"/>
                <w:sz w:val="21"/>
                <w:szCs w:val="21"/>
              </w:rPr>
              <w:t>、CO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2"/>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left="113" w:hanging="113" w:hangingChars="54"/>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焦亚硫酸钠干燥</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2"/>
                <w:sz w:val="21"/>
                <w:szCs w:val="21"/>
              </w:rPr>
              <w:t>、CO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2"/>
                <w:sz w:val="21"/>
                <w:szCs w:val="21"/>
              </w:rPr>
              <w:t>、颗粒物（焦亚硫酸钠、亚硫酸氢钠）等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保险粉合成</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0"/>
                <w:sz w:val="21"/>
                <w:szCs w:val="21"/>
                <w:lang w:val="zh-CN"/>
              </w:rPr>
              <w:t xml:space="preserve">甲醇、 甲酸甲酯、 </w:t>
            </w: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lang w:val="zh-CN"/>
              </w:rPr>
              <w:t>、环氧乙烷，甲硫醇，硫化氢，</w:t>
            </w:r>
            <w:r>
              <w:rPr>
                <w:rFonts w:hint="default" w:ascii="Times New Roman" w:hAnsi="Times New Roman" w:eastAsia="宋体" w:cs="Times New Roman"/>
                <w:snapToGrid w:val="0"/>
                <w:color w:val="000000"/>
                <w:kern w:val="2"/>
                <w:sz w:val="21"/>
                <w:szCs w:val="21"/>
              </w:rPr>
              <w:t>N</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2"/>
                <w:sz w:val="21"/>
                <w:szCs w:val="21"/>
              </w:rPr>
              <w:t>及CO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lang w:val="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left="130" w:hanging="130" w:hangingChars="62"/>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压缩输送物料</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0"/>
                <w:sz w:val="21"/>
                <w:szCs w:val="21"/>
                <w:lang w:val="zh-CN"/>
              </w:rPr>
              <w:t xml:space="preserve">甲醇、 甲酸甲酯、 </w:t>
            </w: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lang w:val="zh-CN"/>
              </w:rPr>
              <w:t>、环氧乙烷、</w:t>
            </w:r>
            <w:r>
              <w:rPr>
                <w:rFonts w:hint="default" w:ascii="Times New Roman" w:hAnsi="Times New Roman" w:eastAsia="宋体" w:cs="Times New Roman"/>
                <w:snapToGrid w:val="0"/>
                <w:color w:val="000000"/>
                <w:kern w:val="2"/>
                <w:sz w:val="21"/>
                <w:szCs w:val="21"/>
              </w:rPr>
              <w:t>N</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2"/>
                <w:sz w:val="21"/>
                <w:szCs w:val="21"/>
              </w:rPr>
              <w:t>及CO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lang w:val="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left="130" w:hanging="130" w:hangingChars="62"/>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排放气</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0"/>
                <w:sz w:val="21"/>
                <w:szCs w:val="21"/>
                <w:lang w:val="zh-CN"/>
              </w:rPr>
              <w:t>甲醇、</w:t>
            </w:r>
            <w:r>
              <w:rPr>
                <w:rFonts w:hint="default" w:ascii="Times New Roman" w:hAnsi="Times New Roman" w:eastAsia="宋体" w:cs="Times New Roman"/>
                <w:snapToGrid w:val="0"/>
                <w:color w:val="000000"/>
                <w:kern w:val="0"/>
                <w:sz w:val="21"/>
                <w:szCs w:val="21"/>
              </w:rPr>
              <w:t xml:space="preserve"> </w:t>
            </w:r>
            <w:r>
              <w:rPr>
                <w:rFonts w:hint="default" w:ascii="Times New Roman" w:hAnsi="Times New Roman" w:eastAsia="宋体" w:cs="Times New Roman"/>
                <w:snapToGrid w:val="0"/>
                <w:color w:val="000000"/>
                <w:kern w:val="0"/>
                <w:sz w:val="21"/>
                <w:szCs w:val="21"/>
                <w:lang w:val="zh-CN"/>
              </w:rPr>
              <w:t>甲酸甲酯、</w:t>
            </w:r>
            <w:r>
              <w:rPr>
                <w:rFonts w:hint="default" w:ascii="Times New Roman" w:hAnsi="Times New Roman" w:eastAsia="宋体" w:cs="Times New Roman"/>
                <w:snapToGrid w:val="0"/>
                <w:color w:val="000000"/>
                <w:kern w:val="0"/>
                <w:sz w:val="21"/>
                <w:szCs w:val="21"/>
              </w:rPr>
              <w:t xml:space="preserve"> </w:t>
            </w: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lang w:val="zh-CN"/>
              </w:rPr>
              <w:t>、环氧乙烷</w:t>
            </w:r>
            <w:r>
              <w:rPr>
                <w:rFonts w:hint="default" w:ascii="Times New Roman" w:hAnsi="Times New Roman" w:eastAsia="宋体" w:cs="Times New Roman"/>
                <w:snapToGrid w:val="0"/>
                <w:color w:val="000000"/>
                <w:kern w:val="0"/>
                <w:sz w:val="21"/>
                <w:szCs w:val="21"/>
              </w:rPr>
              <w:t>，</w:t>
            </w:r>
            <w:r>
              <w:rPr>
                <w:rFonts w:hint="default" w:ascii="Times New Roman" w:hAnsi="Times New Roman" w:eastAsia="宋体" w:cs="Times New Roman"/>
                <w:snapToGrid w:val="0"/>
                <w:color w:val="000000"/>
                <w:kern w:val="0"/>
                <w:sz w:val="21"/>
                <w:szCs w:val="21"/>
                <w:lang w:val="zh-CN"/>
              </w:rPr>
              <w:t>甲硫醇</w:t>
            </w:r>
            <w:r>
              <w:rPr>
                <w:rFonts w:hint="default" w:ascii="Times New Roman" w:hAnsi="Times New Roman" w:eastAsia="宋体" w:cs="Times New Roman"/>
                <w:snapToGrid w:val="0"/>
                <w:color w:val="000000"/>
                <w:kern w:val="0"/>
                <w:sz w:val="21"/>
                <w:szCs w:val="21"/>
              </w:rPr>
              <w:t>，</w:t>
            </w:r>
            <w:r>
              <w:rPr>
                <w:rFonts w:hint="default" w:ascii="Times New Roman" w:hAnsi="Times New Roman" w:eastAsia="宋体" w:cs="Times New Roman"/>
                <w:snapToGrid w:val="0"/>
                <w:color w:val="000000"/>
                <w:kern w:val="0"/>
                <w:sz w:val="21"/>
                <w:szCs w:val="21"/>
                <w:lang w:val="zh-CN"/>
              </w:rPr>
              <w:t>硫化氢</w:t>
            </w:r>
            <w:r>
              <w:rPr>
                <w:rFonts w:hint="default" w:ascii="Times New Roman" w:hAnsi="Times New Roman" w:eastAsia="宋体" w:cs="Times New Roman"/>
                <w:snapToGrid w:val="0"/>
                <w:color w:val="000000"/>
                <w:kern w:val="0"/>
                <w:sz w:val="21"/>
                <w:szCs w:val="21"/>
              </w:rPr>
              <w:t>，</w:t>
            </w:r>
            <w:r>
              <w:rPr>
                <w:rFonts w:hint="default" w:ascii="Times New Roman" w:hAnsi="Times New Roman" w:eastAsia="宋体" w:cs="Times New Roman"/>
                <w:snapToGrid w:val="0"/>
                <w:color w:val="000000"/>
                <w:kern w:val="2"/>
                <w:sz w:val="21"/>
                <w:szCs w:val="21"/>
              </w:rPr>
              <w:t>N</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2"/>
                <w:sz w:val="21"/>
                <w:szCs w:val="21"/>
              </w:rPr>
              <w:t>及CO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lang w:val="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保险粉、亚硫酸钠、回收甲酸钠真空干燥及精馏残液的真空尾气</w:t>
            </w:r>
          </w:p>
        </w:tc>
        <w:tc>
          <w:tcPr>
            <w:tcW w:w="5239"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rPr>
              <w:t>、</w:t>
            </w:r>
            <w:r>
              <w:rPr>
                <w:rFonts w:hint="default" w:ascii="Times New Roman" w:hAnsi="Times New Roman" w:eastAsia="宋体" w:cs="Times New Roman"/>
                <w:snapToGrid w:val="0"/>
                <w:color w:val="000000"/>
                <w:kern w:val="0"/>
                <w:sz w:val="21"/>
                <w:szCs w:val="21"/>
                <w:lang w:val="zh-CN"/>
              </w:rPr>
              <w:t>甲酸甲酯</w:t>
            </w:r>
            <w:r>
              <w:rPr>
                <w:rFonts w:hint="default" w:ascii="Times New Roman" w:hAnsi="Times New Roman" w:eastAsia="宋体" w:cs="Times New Roman"/>
                <w:snapToGrid w:val="0"/>
                <w:color w:val="000000"/>
                <w:kern w:val="0"/>
                <w:sz w:val="21"/>
                <w:szCs w:val="21"/>
              </w:rPr>
              <w:t>、</w:t>
            </w:r>
            <w:r>
              <w:rPr>
                <w:rFonts w:hint="default" w:ascii="Times New Roman" w:hAnsi="Times New Roman" w:eastAsia="宋体" w:cs="Times New Roman"/>
                <w:snapToGrid w:val="0"/>
                <w:color w:val="000000"/>
                <w:kern w:val="0"/>
                <w:sz w:val="21"/>
                <w:szCs w:val="21"/>
                <w:lang w:val="zh-CN"/>
              </w:rPr>
              <w:t>甲醇</w:t>
            </w:r>
            <w:r>
              <w:rPr>
                <w:rFonts w:hint="default" w:ascii="Times New Roman" w:hAnsi="Times New Roman" w:eastAsia="宋体" w:cs="Times New Roman"/>
                <w:snapToGrid w:val="0"/>
                <w:color w:val="000000"/>
                <w:kern w:val="0"/>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排放气和经处理的保险粉、亚硫酸钠、回收甲酸钠真空干燥及精馏残液的真空尾气</w:t>
            </w:r>
          </w:p>
        </w:tc>
        <w:tc>
          <w:tcPr>
            <w:tcW w:w="5239"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0"/>
                <w:sz w:val="21"/>
                <w:szCs w:val="21"/>
                <w:lang w:val="zh-CN"/>
              </w:rPr>
              <w:t>甲醇、 甲酸甲酯、</w:t>
            </w: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lang w:val="zh-CN"/>
              </w:rPr>
              <w:t>、环氧乙烷，甲硫醇，硫化氢，</w:t>
            </w:r>
            <w:r>
              <w:rPr>
                <w:rFonts w:hint="default" w:ascii="Times New Roman" w:hAnsi="Times New Roman" w:eastAsia="宋体" w:cs="Times New Roman"/>
                <w:snapToGrid w:val="0"/>
                <w:color w:val="000000"/>
                <w:kern w:val="2"/>
                <w:sz w:val="21"/>
                <w:szCs w:val="21"/>
              </w:rPr>
              <w:t>N</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2"/>
                <w:sz w:val="21"/>
                <w:szCs w:val="21"/>
              </w:rPr>
              <w:t>及CO</w:t>
            </w:r>
            <w:r>
              <w:rPr>
                <w:rFonts w:hint="default" w:ascii="Times New Roman" w:hAnsi="Times New Roman" w:eastAsia="宋体" w:cs="Times New Roman"/>
                <w:snapToGrid w:val="0"/>
                <w:color w:val="000000"/>
                <w:kern w:val="2"/>
                <w:sz w:val="21"/>
                <w:szCs w:val="21"/>
                <w:vertAlign w:val="subscript"/>
              </w:rPr>
              <w:t>2</w:t>
            </w:r>
            <w:r>
              <w:rPr>
                <w:rFonts w:hint="default" w:ascii="Times New Roman" w:hAnsi="Times New Roman" w:eastAsia="宋体" w:cs="Times New Roman"/>
                <w:snapToGrid w:val="0"/>
                <w:color w:val="000000"/>
                <w:kern w:val="0"/>
                <w:sz w:val="21"/>
                <w:szCs w:val="21"/>
                <w:lang w:val="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681" w:type="dxa"/>
            <w:vMerge w:val="restart"/>
            <w:noWrap w:val="0"/>
            <w:vAlign w:val="center"/>
          </w:tcPr>
          <w:p>
            <w:pPr>
              <w:widowControl w:val="0"/>
              <w:autoSpaceDE w:val="0"/>
              <w:autoSpaceDN w:val="0"/>
              <w:adjustRightInd w:val="0"/>
              <w:snapToGrid/>
              <w:spacing w:line="300" w:lineRule="exact"/>
              <w:ind w:firstLine="105" w:firstLineChars="50"/>
              <w:jc w:val="center"/>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废 水</w:t>
            </w:r>
          </w:p>
        </w:tc>
        <w:tc>
          <w:tcPr>
            <w:tcW w:w="1109"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焦亚硫酸钠生产装置</w:t>
            </w: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焦亚硫酸钠合成尾气吸收</w:t>
            </w:r>
          </w:p>
        </w:tc>
        <w:tc>
          <w:tcPr>
            <w:tcW w:w="5239"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0"/>
                <w:sz w:val="21"/>
                <w:szCs w:val="21"/>
                <w:lang w:val="zh-CN"/>
              </w:rPr>
            </w:pPr>
            <w:r>
              <w:rPr>
                <w:rFonts w:hint="default" w:ascii="Times New Roman" w:hAnsi="Times New Roman" w:eastAsia="宋体" w:cs="Times New Roman"/>
                <w:snapToGrid w:val="0"/>
                <w:color w:val="000000"/>
                <w:kern w:val="2"/>
                <w:sz w:val="21"/>
                <w:szCs w:val="21"/>
              </w:rPr>
              <w:t>含主要成分：</w:t>
            </w:r>
            <w:r>
              <w:rPr>
                <w:rFonts w:hint="default" w:ascii="Times New Roman" w:hAnsi="Times New Roman" w:eastAsia="宋体" w:cs="Times New Roman"/>
                <w:snapToGrid w:val="0"/>
                <w:color w:val="000000"/>
                <w:kern w:val="0"/>
                <w:sz w:val="21"/>
                <w:szCs w:val="21"/>
                <w:lang w:val="zh-CN"/>
              </w:rPr>
              <w:t>亚硫酸钠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left="113" w:hanging="113" w:hangingChars="54"/>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焦亚硫酸钠干燥尾气吸收</w:t>
            </w:r>
          </w:p>
        </w:tc>
        <w:tc>
          <w:tcPr>
            <w:tcW w:w="5239"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0"/>
                <w:sz w:val="21"/>
                <w:szCs w:val="21"/>
                <w:lang w:val="zh-CN"/>
              </w:rPr>
            </w:pPr>
            <w:r>
              <w:rPr>
                <w:rFonts w:hint="default" w:ascii="Times New Roman" w:hAnsi="Times New Roman" w:eastAsia="宋体" w:cs="Times New Roman"/>
                <w:snapToGrid w:val="0"/>
                <w:color w:val="000000"/>
                <w:kern w:val="2"/>
                <w:sz w:val="21"/>
                <w:szCs w:val="21"/>
              </w:rPr>
              <w:t>含主要成分：</w:t>
            </w:r>
            <w:r>
              <w:rPr>
                <w:rFonts w:hint="default" w:ascii="Times New Roman" w:hAnsi="Times New Roman" w:eastAsia="宋体" w:cs="Times New Roman"/>
                <w:snapToGrid w:val="0"/>
                <w:color w:val="000000"/>
                <w:kern w:val="0"/>
                <w:sz w:val="21"/>
                <w:szCs w:val="21"/>
                <w:lang w:val="zh-CN"/>
              </w:rPr>
              <w:t>焦亚硫酸钠、亚硫酸钠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回收甲醇残液蒸发冷凝</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bCs/>
                <w:color w:val="000000"/>
                <w:kern w:val="0"/>
                <w:sz w:val="21"/>
                <w:szCs w:val="21"/>
                <w:lang w:val="zh-CN"/>
              </w:rPr>
              <w:t>甲醇、巯基乙醇、乙二醇、乙二醇甲醚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回用压缩气冷干液</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bCs/>
                <w:color w:val="000000"/>
                <w:kern w:val="0"/>
                <w:sz w:val="21"/>
                <w:szCs w:val="21"/>
                <w:lang w:val="zh-CN"/>
              </w:rPr>
              <w:t>甲醇、甲酸甲酯、甲酸、甲硫醇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合成尾气碱吸收液</w:t>
            </w:r>
          </w:p>
        </w:tc>
        <w:tc>
          <w:tcPr>
            <w:tcW w:w="5239"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含主要成分：</w:t>
            </w:r>
            <w:r>
              <w:rPr>
                <w:rFonts w:hint="default" w:ascii="Times New Roman" w:hAnsi="Times New Roman" w:eastAsia="宋体" w:cs="Times New Roman"/>
                <w:snapToGrid w:val="0"/>
                <w:color w:val="000000"/>
                <w:kern w:val="0"/>
                <w:sz w:val="21"/>
                <w:szCs w:val="21"/>
                <w:lang w:val="zh-CN"/>
              </w:rPr>
              <w:t>亚硫酸钠、甲酸钠、甲醇等。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压缩输送物料碱吸收液</w:t>
            </w:r>
          </w:p>
        </w:tc>
        <w:tc>
          <w:tcPr>
            <w:tcW w:w="523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真空干燥尾气碱吸收液</w:t>
            </w:r>
          </w:p>
        </w:tc>
        <w:tc>
          <w:tcPr>
            <w:tcW w:w="5239"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固 废</w:t>
            </w:r>
          </w:p>
        </w:tc>
        <w:tc>
          <w:tcPr>
            <w:tcW w:w="110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液体二氧化硫生产装置</w:t>
            </w: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3</w:t>
            </w:r>
            <w:r>
              <w:rPr>
                <w:rFonts w:hint="default" w:ascii="Times New Roman" w:hAnsi="Times New Roman" w:eastAsia="宋体" w:cs="Times New Roman"/>
                <w:snapToGrid w:val="0"/>
                <w:color w:val="000000"/>
                <w:kern w:val="2"/>
                <w:sz w:val="21"/>
                <w:szCs w:val="21"/>
              </w:rPr>
              <w:t>发生</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S1：废催化剂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焦亚硫酸钠生产装置</w:t>
            </w: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3</w:t>
            </w:r>
            <w:r>
              <w:rPr>
                <w:rFonts w:hint="default" w:ascii="Times New Roman" w:hAnsi="Times New Roman" w:eastAsia="宋体" w:cs="Times New Roman"/>
                <w:snapToGrid w:val="0"/>
                <w:color w:val="000000"/>
                <w:kern w:val="2"/>
                <w:sz w:val="21"/>
                <w:szCs w:val="21"/>
              </w:rPr>
              <w:t>发生</w:t>
            </w:r>
          </w:p>
        </w:tc>
        <w:tc>
          <w:tcPr>
            <w:tcW w:w="523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S2：废催化剂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109"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283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蒸发残液</w:t>
            </w:r>
          </w:p>
        </w:tc>
        <w:tc>
          <w:tcPr>
            <w:tcW w:w="5239"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0"/>
                <w:sz w:val="21"/>
                <w:szCs w:val="21"/>
                <w:lang w:val="zh-CN"/>
              </w:rPr>
            </w:pPr>
            <w:r>
              <w:rPr>
                <w:rFonts w:hint="default" w:ascii="Times New Roman" w:hAnsi="Times New Roman" w:eastAsia="宋体" w:cs="Times New Roman"/>
                <w:snapToGrid w:val="0"/>
                <w:color w:val="000000"/>
                <w:kern w:val="2"/>
                <w:sz w:val="21"/>
                <w:szCs w:val="21"/>
              </w:rPr>
              <w:t>S3:</w:t>
            </w:r>
            <w:r>
              <w:rPr>
                <w:rFonts w:hint="default" w:ascii="Times New Roman" w:hAnsi="Times New Roman" w:eastAsia="宋体" w:cs="Times New Roman"/>
                <w:snapToGrid w:val="0"/>
                <w:color w:val="000000"/>
                <w:kern w:val="0"/>
                <w:sz w:val="21"/>
                <w:szCs w:val="21"/>
                <w:lang w:val="zh-CN"/>
              </w:rPr>
              <w:t xml:space="preserve"> </w:t>
            </w:r>
            <w:r>
              <w:rPr>
                <w:rFonts w:hint="default" w:ascii="Times New Roman" w:hAnsi="Times New Roman" w:eastAsia="宋体" w:cs="Times New Roman"/>
                <w:bCs/>
                <w:color w:val="000000"/>
                <w:kern w:val="0"/>
                <w:sz w:val="21"/>
                <w:szCs w:val="21"/>
                <w:lang w:val="zh-CN"/>
              </w:rPr>
              <w:t>甲酸钠、硫代硫酸钠、甲醇、邦特盐、乙二醇、乙二醇甲醚、羟乙基磺酸钠、亚硫酸钠、巯基乙醇、硫酸钠、水、甲硫醇钠、硫化钠</w:t>
            </w:r>
            <w:r>
              <w:rPr>
                <w:rFonts w:hint="default" w:ascii="Times New Roman" w:hAnsi="Times New Roman" w:eastAsia="宋体" w:cs="Times New Roman"/>
                <w:snapToGrid w:val="0"/>
                <w:color w:val="000000"/>
                <w:kern w:val="0"/>
                <w:sz w:val="21"/>
                <w:szCs w:val="21"/>
                <w:lang w:val="zh-CN"/>
              </w:rPr>
              <w:t>（危险固废HW11）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8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eastAsia" w:ascii="Times New Roman" w:hAnsi="Times New Roman" w:eastAsia="宋体" w:cs="Times New Roman"/>
                <w:snapToGrid w:val="0"/>
                <w:color w:val="000000"/>
                <w:kern w:val="2"/>
                <w:sz w:val="21"/>
                <w:szCs w:val="21"/>
                <w:lang w:val="en-US" w:eastAsia="zh-CN"/>
              </w:rPr>
            </w:pPr>
            <w:bookmarkStart w:id="51" w:name="_Toc489"/>
            <w:r>
              <w:rPr>
                <w:rFonts w:hint="eastAsia" w:ascii="Times New Roman" w:hAnsi="Times New Roman" w:cs="Times New Roman"/>
                <w:snapToGrid w:val="0"/>
                <w:color w:val="000000"/>
                <w:kern w:val="2"/>
                <w:sz w:val="21"/>
                <w:szCs w:val="21"/>
                <w:lang w:val="en-US" w:eastAsia="zh-CN"/>
              </w:rPr>
              <w:t>噪声</w:t>
            </w:r>
          </w:p>
        </w:tc>
        <w:tc>
          <w:tcPr>
            <w:tcW w:w="3944" w:type="dxa"/>
            <w:gridSpan w:val="2"/>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eastAsia" w:ascii="Times New Roman" w:hAnsi="Times New Roman" w:cs="Times New Roman"/>
                <w:snapToGrid w:val="0"/>
                <w:color w:val="000000"/>
                <w:kern w:val="2"/>
                <w:sz w:val="21"/>
                <w:szCs w:val="21"/>
                <w:lang w:val="en-US" w:eastAsia="zh-CN"/>
              </w:rPr>
              <w:t>设备运行</w:t>
            </w:r>
          </w:p>
        </w:tc>
        <w:tc>
          <w:tcPr>
            <w:tcW w:w="5239"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eastAsia"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等效声级</w:t>
            </w:r>
          </w:p>
        </w:tc>
      </w:tr>
    </w:tbl>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rPr>
      </w:pPr>
      <w:r>
        <w:rPr>
          <w:rFonts w:hint="default" w:ascii="Times New Roman" w:hAnsi="Times New Roman" w:cs="Times New Roman"/>
          <w:sz w:val="30"/>
          <w:szCs w:val="30"/>
          <w:highlight w:val="none"/>
        </w:rPr>
        <w:t>2.</w:t>
      </w:r>
      <w:r>
        <w:rPr>
          <w:rFonts w:hint="default" w:ascii="Times New Roman" w:hAnsi="Times New Roman" w:cs="Times New Roman"/>
          <w:sz w:val="30"/>
          <w:szCs w:val="30"/>
          <w:highlight w:val="none"/>
          <w:lang w:val="en-US" w:eastAsia="zh-CN"/>
        </w:rPr>
        <w:t>5 涉及的有毒有害物质</w:t>
      </w:r>
      <w:bookmarkEnd w:id="51"/>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zCs w:val="28"/>
          <w:highlight w:val="none"/>
          <w:lang w:val="en-US" w:eastAsia="zh-CN"/>
        </w:rPr>
      </w:pPr>
      <w:r>
        <w:rPr>
          <w:rFonts w:hint="default" w:ascii="Times New Roman" w:hAnsi="Times New Roman" w:cs="Times New Roman"/>
          <w:szCs w:val="28"/>
          <w:highlight w:val="none"/>
          <w:lang w:val="en-US" w:eastAsia="zh-CN"/>
        </w:rPr>
        <w:t>项目在生产过程中，“三废”污染物等含有有毒有害物质的风险物质</w:t>
      </w:r>
      <w:r>
        <w:rPr>
          <w:rFonts w:hint="eastAsia" w:ascii="Times New Roman" w:hAnsi="Times New Roman" w:cs="Times New Roman"/>
          <w:szCs w:val="28"/>
          <w:highlight w:val="none"/>
          <w:lang w:val="en-US" w:eastAsia="zh-CN"/>
        </w:rPr>
        <w:t>包括</w:t>
      </w:r>
      <w:r>
        <w:rPr>
          <w:rFonts w:hint="eastAsia"/>
        </w:rPr>
        <w:t>原辅材料硫磺、甲醇、环氧乙烷、氢氧化钠溶液、冷冻所用的氨（液化的）、催化剂所含五氧化二钒、循环水处理所用的氯酸钠和盐酸；中间产物二氧化硫（液化的）、三氧化硫、亚硫酸氢钠、二氧化碳、甲酸甲酯</w:t>
      </w:r>
      <w:r>
        <w:rPr>
          <w:rFonts w:hint="eastAsia"/>
          <w:lang w:eastAsia="zh-CN"/>
        </w:rPr>
        <w:t>；</w:t>
      </w:r>
      <w:r>
        <w:rPr>
          <w:rFonts w:hint="eastAsia"/>
        </w:rPr>
        <w:t>产品及副产品连二亚硫酸钠（保险粉）、硫酸。</w:t>
      </w:r>
      <w:r>
        <w:rPr>
          <w:rFonts w:hint="default" w:ascii="Times New Roman" w:hAnsi="Times New Roman" w:cs="Times New Roman"/>
          <w:szCs w:val="28"/>
          <w:highlight w:val="none"/>
          <w:lang w:val="en-US" w:eastAsia="zh-CN"/>
        </w:rPr>
        <w:t>有毒有害物质的风险物质储存情况见表2-</w:t>
      </w:r>
      <w:r>
        <w:rPr>
          <w:rFonts w:hint="eastAsia" w:ascii="Times New Roman" w:hAnsi="Times New Roman" w:cs="Times New Roman"/>
          <w:szCs w:val="28"/>
          <w:highlight w:val="none"/>
          <w:lang w:val="en-US" w:eastAsia="zh-CN"/>
        </w:rPr>
        <w:t>10</w:t>
      </w:r>
      <w:r>
        <w:rPr>
          <w:rFonts w:hint="default" w:ascii="Times New Roman" w:hAnsi="Times New Roman" w:cs="Times New Roman"/>
          <w:szCs w:val="28"/>
          <w:highlight w:val="none"/>
          <w:lang w:val="en-US" w:eastAsia="zh-CN"/>
        </w:rPr>
        <w:t>。主要风险物质的危险特性见表2-</w:t>
      </w:r>
      <w:r>
        <w:rPr>
          <w:rFonts w:hint="eastAsia" w:ascii="Times New Roman" w:hAnsi="Times New Roman" w:cs="Times New Roman"/>
          <w:szCs w:val="28"/>
          <w:highlight w:val="none"/>
          <w:lang w:val="en-US" w:eastAsia="zh-CN"/>
        </w:rPr>
        <w:t>11</w:t>
      </w:r>
      <w:r>
        <w:rPr>
          <w:rFonts w:hint="default" w:ascii="Times New Roman" w:hAnsi="Times New Roman" w:cs="Times New Roman"/>
          <w:szCs w:val="28"/>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jc w:val="center"/>
        <w:textAlignment w:val="auto"/>
        <w:rPr>
          <w:rFonts w:hint="default" w:ascii="Times New Roman" w:hAnsi="Times New Roman" w:cs="Times New Roman"/>
          <w:b/>
          <w:sz w:val="24"/>
          <w:highlight w:val="none"/>
          <w:lang w:val="en-US" w:eastAsia="zh-CN"/>
        </w:rPr>
      </w:pPr>
      <w:r>
        <w:rPr>
          <w:rFonts w:hint="default" w:ascii="Times New Roman" w:hAnsi="Times New Roman" w:cs="Times New Roman"/>
          <w:b/>
          <w:sz w:val="24"/>
          <w:highlight w:val="none"/>
        </w:rPr>
        <w:t>表</w:t>
      </w:r>
      <w:r>
        <w:rPr>
          <w:rFonts w:hint="default" w:ascii="Times New Roman" w:hAnsi="Times New Roman" w:cs="Times New Roman"/>
          <w:b/>
          <w:sz w:val="24"/>
          <w:highlight w:val="none"/>
          <w:lang w:val="en-US" w:eastAsia="zh-CN"/>
        </w:rPr>
        <w:t>2-</w:t>
      </w:r>
      <w:r>
        <w:rPr>
          <w:rFonts w:hint="eastAsia" w:ascii="Times New Roman" w:hAnsi="Times New Roman" w:cs="Times New Roman"/>
          <w:b/>
          <w:sz w:val="24"/>
          <w:highlight w:val="none"/>
          <w:lang w:val="en-US" w:eastAsia="zh-CN"/>
        </w:rPr>
        <w:t>10</w:t>
      </w:r>
      <w:r>
        <w:rPr>
          <w:rFonts w:hint="default" w:ascii="Times New Roman" w:hAnsi="Times New Roman" w:cs="Times New Roman"/>
          <w:b/>
          <w:sz w:val="24"/>
          <w:highlight w:val="none"/>
        </w:rPr>
        <w:tab/>
      </w:r>
      <w:r>
        <w:rPr>
          <w:rFonts w:hint="default" w:ascii="Times New Roman" w:hAnsi="Times New Roman" w:cs="Times New Roman"/>
          <w:b/>
          <w:sz w:val="24"/>
          <w:highlight w:val="none"/>
        </w:rPr>
        <w:t>环境风险物质储存情况</w:t>
      </w:r>
      <w:r>
        <w:rPr>
          <w:rFonts w:hint="default" w:ascii="Times New Roman" w:hAnsi="Times New Roman" w:cs="Times New Roman"/>
          <w:b/>
          <w:sz w:val="24"/>
          <w:highlight w:val="none"/>
          <w:lang w:val="en-US" w:eastAsia="zh-CN"/>
        </w:rPr>
        <w:t>表</w:t>
      </w:r>
    </w:p>
    <w:tbl>
      <w:tblPr>
        <w:tblStyle w:val="21"/>
        <w:tblW w:w="5126" w:type="pct"/>
        <w:jc w:val="center"/>
        <w:tblLayout w:type="autofit"/>
        <w:tblCellMar>
          <w:top w:w="0" w:type="dxa"/>
          <w:left w:w="0" w:type="dxa"/>
          <w:bottom w:w="0" w:type="dxa"/>
          <w:right w:w="0" w:type="dxa"/>
        </w:tblCellMar>
      </w:tblPr>
      <w:tblGrid>
        <w:gridCol w:w="2181"/>
        <w:gridCol w:w="1801"/>
        <w:gridCol w:w="1409"/>
        <w:gridCol w:w="1547"/>
        <w:gridCol w:w="2952"/>
      </w:tblGrid>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rPr>
            </w:pPr>
            <w:r>
              <w:rPr>
                <w:rFonts w:hint="default" w:ascii="Times New Roman" w:hAnsi="Times New Roman" w:eastAsia="宋体" w:cs="Times New Roman"/>
                <w:b/>
                <w:bCs/>
                <w:kern w:val="1"/>
                <w:sz w:val="21"/>
                <w:szCs w:val="21"/>
                <w:highlight w:val="none"/>
              </w:rPr>
              <w:t>风险物质名称</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rPr>
            </w:pPr>
            <w:r>
              <w:rPr>
                <w:rFonts w:hint="default" w:ascii="Times New Roman" w:hAnsi="Times New Roman" w:eastAsia="宋体" w:cs="Times New Roman"/>
                <w:b/>
                <w:bCs/>
                <w:kern w:val="1"/>
                <w:sz w:val="21"/>
                <w:szCs w:val="21"/>
                <w:highlight w:val="none"/>
              </w:rPr>
              <w:t>状  态</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lang w:val="en-US" w:eastAsia="zh-CN"/>
              </w:rPr>
            </w:pPr>
            <w:r>
              <w:rPr>
                <w:rFonts w:hint="eastAsia" w:ascii="Times New Roman" w:hAnsi="Times New Roman" w:cs="Times New Roman"/>
                <w:b/>
                <w:bCs/>
                <w:kern w:val="1"/>
                <w:sz w:val="21"/>
                <w:szCs w:val="21"/>
                <w:highlight w:val="none"/>
                <w:lang w:val="en-US" w:eastAsia="zh-CN"/>
              </w:rPr>
              <w:t>年使用量（t）</w:t>
            </w:r>
          </w:p>
        </w:tc>
        <w:tc>
          <w:tcPr>
            <w:tcW w:w="78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rPr>
            </w:pPr>
            <w:r>
              <w:rPr>
                <w:rFonts w:hint="default" w:ascii="Times New Roman" w:hAnsi="Times New Roman" w:eastAsia="宋体" w:cs="Times New Roman"/>
                <w:b/>
                <w:bCs/>
                <w:kern w:val="1"/>
                <w:sz w:val="21"/>
                <w:szCs w:val="21"/>
                <w:highlight w:val="none"/>
              </w:rPr>
              <w:t>运输方式</w:t>
            </w:r>
          </w:p>
        </w:tc>
        <w:tc>
          <w:tcPr>
            <w:tcW w:w="1492"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1"/>
                <w:sz w:val="21"/>
                <w:szCs w:val="21"/>
                <w:highlight w:val="none"/>
                <w:lang w:val="en-US" w:eastAsia="zh-CN"/>
              </w:rPr>
            </w:pPr>
            <w:r>
              <w:rPr>
                <w:rFonts w:hint="eastAsia" w:ascii="Times New Roman" w:hAnsi="Times New Roman" w:cs="Times New Roman"/>
                <w:b/>
                <w:bCs/>
                <w:kern w:val="1"/>
                <w:sz w:val="21"/>
                <w:szCs w:val="21"/>
                <w:highlight w:val="none"/>
                <w:lang w:val="en-US" w:eastAsia="zh-CN"/>
              </w:rPr>
              <w:t>主要存在场所</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硫磺</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固态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37166</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存在于硫磺库、液体二氧化硫和焦亚硫酸钠装置的熔硫釜、焚硫炉、硫磺分离罐、硫磺氧化器等设备及相连的管道中</w:t>
            </w:r>
          </w:p>
        </w:tc>
      </w:tr>
      <w:tr>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甲醇</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液态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1600</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存在于保险粉装置的干燥器、洗涤甲醇罐、中和釜、中和液贮罐、粗甲醇预热器、蒸馏塔、甲醇中转罐、甲醇贮罐、蒸发釜、冷凝甲醇罐等设备及相连的管道中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环氧乙烷</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气态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1855</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存在于保险粉装置的合成釜中和环氧乙烷储罐中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氢氧化钠</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rPr>
            </w:pPr>
            <w:r>
              <w:rPr>
                <w:rFonts w:hint="eastAsia" w:ascii="Times New Roman" w:hAnsi="Times New Roman" w:cs="Times New Roman"/>
                <w:kern w:val="1"/>
                <w:sz w:val="21"/>
                <w:szCs w:val="21"/>
                <w:highlight w:val="none"/>
                <w:lang w:val="en-US" w:eastAsia="zh-CN"/>
              </w:rPr>
              <w:t>固态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34400</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存在于液碱储罐及保险粉装置的中和釜中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氨（液化的）</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eastAsia" w:ascii="Times New Roman" w:hAnsi="Times New Roman" w:cs="Times New Roman"/>
                <w:i w:val="0"/>
                <w:iCs w:val="0"/>
                <w:sz w:val="21"/>
                <w:szCs w:val="21"/>
                <w:u w:val="none"/>
                <w:lang w:val="en-US" w:eastAsia="zh-CN"/>
              </w:rPr>
              <w:t>液态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5.45</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存在于保险粉装置的氨贮槽、氨液分离器等及管道中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五氧化二钒</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固态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4</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eastAsia="宋体" w:cs="Times New Roman"/>
                <w:kern w:val="1"/>
                <w:sz w:val="21"/>
                <w:szCs w:val="21"/>
                <w:highlight w:val="none"/>
                <w:lang w:val="en-US" w:eastAsia="zh-CN" w:bidi="ar-SA"/>
              </w:rPr>
              <w:t>汽车</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存在于三氧化硫转化器中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二氧化硫（液化的）</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eastAsia" w:ascii="Times New Roman" w:hAnsi="Times New Roman" w:cs="Times New Roman"/>
                <w:i w:val="0"/>
                <w:iCs w:val="0"/>
                <w:sz w:val="21"/>
                <w:szCs w:val="21"/>
                <w:u w:val="none"/>
                <w:lang w:val="en-US" w:eastAsia="zh-CN"/>
              </w:rPr>
              <w:t>液态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52400</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存在于液体二氧化硫装置和焦亚硫酸钠装置的设备及管道中及保险粉装置的焦亚硫酸钠配制釜、计量釜和合成釜中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三氧化硫</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固态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45</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存在于液体二氧化硫装置和焦亚硫酸钠装置的三氧化硫转化器、硫磺氧化器、吸收塔中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亚硫酸氢钠</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固态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45000</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eastAsia="宋体" w:cs="Times New Roman"/>
                <w:kern w:val="1"/>
                <w:sz w:val="21"/>
                <w:szCs w:val="21"/>
                <w:highlight w:val="none"/>
                <w:lang w:val="en-US" w:eastAsia="zh-CN" w:bidi="ar-SA"/>
              </w:rPr>
              <w:t>汽车</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存在于保险粉装置的合成釜、中和釜等设备中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二氧化碳</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rPr>
              <w:t>气态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0.03</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rPr>
              <w:t>存在于保险粉装置的合成釜、焦亚硫酸钠装置的反应釜等设备中</w:t>
            </w:r>
          </w:p>
        </w:tc>
      </w:tr>
      <w:tr>
        <w:tblPrEx>
          <w:tblCellMar>
            <w:top w:w="0" w:type="dxa"/>
            <w:left w:w="0" w:type="dxa"/>
            <w:bottom w:w="0" w:type="dxa"/>
            <w:right w:w="0" w:type="dxa"/>
          </w:tblCellMar>
        </w:tblPrEx>
        <w:trPr>
          <w:trHeight w:val="618"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甲酸甲酯</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液态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100</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eastAsia="宋体" w:cs="Times New Roman"/>
                <w:kern w:val="1"/>
                <w:sz w:val="21"/>
                <w:szCs w:val="21"/>
                <w:highlight w:val="none"/>
                <w:lang w:val="en-US" w:eastAsia="zh-CN" w:bidi="ar-SA"/>
              </w:rPr>
              <w:t>汽车</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存在于保险粉装置的合成釜及中和釜中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连二亚硫酸钠（保险粉）</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固态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100000</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叉车</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存在于保险粉装置的合成釜、干燥器及保险粉成品库</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硫酸</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液态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900</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存在于液体二氧化硫装置和焦亚硫酸钠装置的吸收塔及硫酸贮槽等设备中</w:t>
            </w:r>
          </w:p>
        </w:tc>
      </w:tr>
      <w:tr>
        <w:tblPrEx>
          <w:tblCellMar>
            <w:top w:w="0" w:type="dxa"/>
            <w:left w:w="0" w:type="dxa"/>
            <w:bottom w:w="0" w:type="dxa"/>
            <w:right w:w="0" w:type="dxa"/>
          </w:tblCellMar>
        </w:tblPrEx>
        <w:trPr>
          <w:trHeight w:val="567" w:hRule="atLeast"/>
          <w:jc w:val="center"/>
        </w:trPr>
        <w:tc>
          <w:tcPr>
            <w:tcW w:w="11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氟利昂（R22）</w:t>
            </w:r>
          </w:p>
        </w:tc>
        <w:tc>
          <w:tcPr>
            <w:tcW w:w="9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rPr>
            </w:pPr>
            <w:r>
              <w:rPr>
                <w:rFonts w:hint="eastAsia" w:ascii="Times New Roman" w:hAnsi="Times New Roman" w:cs="Times New Roman"/>
                <w:i w:val="0"/>
                <w:iCs w:val="0"/>
                <w:sz w:val="21"/>
                <w:szCs w:val="21"/>
                <w:u w:val="none"/>
                <w:lang w:val="en-US" w:eastAsia="zh-CN"/>
              </w:rPr>
              <w:t>气态</w:t>
            </w:r>
          </w:p>
        </w:tc>
        <w:tc>
          <w:tcPr>
            <w:tcW w:w="71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1.5</w:t>
            </w:r>
          </w:p>
        </w:tc>
        <w:tc>
          <w:tcPr>
            <w:tcW w:w="782" w:type="pct"/>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管道</w:t>
            </w:r>
          </w:p>
        </w:tc>
        <w:tc>
          <w:tcPr>
            <w:tcW w:w="14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rPr>
            </w:pPr>
            <w:r>
              <w:rPr>
                <w:rFonts w:hint="default" w:ascii="Times New Roman" w:hAnsi="Times New Roman" w:eastAsia="宋体" w:cs="Times New Roman"/>
                <w:i w:val="0"/>
                <w:iCs w:val="0"/>
                <w:sz w:val="21"/>
                <w:szCs w:val="21"/>
                <w:u w:val="none"/>
              </w:rPr>
              <w:t>制冷剂，主要存在于制冷机组内</w:t>
            </w:r>
          </w:p>
        </w:tc>
      </w:tr>
    </w:tbl>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sz w:val="24"/>
          <w:highlight w:val="none"/>
        </w:rPr>
      </w:pP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sz w:val="24"/>
          <w:highlight w:val="none"/>
          <w:lang w:val="en-US" w:eastAsia="zh-CN"/>
        </w:rPr>
      </w:pPr>
      <w:r>
        <w:rPr>
          <w:rFonts w:hint="default" w:ascii="Times New Roman" w:hAnsi="Times New Roman" w:cs="Times New Roman"/>
          <w:b/>
          <w:sz w:val="24"/>
          <w:highlight w:val="none"/>
        </w:rPr>
        <w:t>表</w:t>
      </w:r>
      <w:r>
        <w:rPr>
          <w:rFonts w:hint="default" w:ascii="Times New Roman" w:hAnsi="Times New Roman" w:cs="Times New Roman"/>
          <w:b/>
          <w:sz w:val="24"/>
          <w:highlight w:val="none"/>
          <w:lang w:val="en-US" w:eastAsia="zh-CN"/>
        </w:rPr>
        <w:t>2-</w:t>
      </w:r>
      <w:r>
        <w:rPr>
          <w:rFonts w:hint="eastAsia" w:ascii="Times New Roman" w:hAnsi="Times New Roman" w:cs="Times New Roman"/>
          <w:b/>
          <w:sz w:val="24"/>
          <w:highlight w:val="none"/>
          <w:lang w:val="en-US" w:eastAsia="zh-CN"/>
        </w:rPr>
        <w:t>11</w:t>
      </w:r>
      <w:r>
        <w:rPr>
          <w:rFonts w:hint="default" w:ascii="Times New Roman" w:hAnsi="Times New Roman" w:cs="Times New Roman"/>
          <w:b/>
          <w:sz w:val="24"/>
          <w:highlight w:val="none"/>
        </w:rPr>
        <w:tab/>
      </w:r>
      <w:r>
        <w:rPr>
          <w:rFonts w:hint="default" w:ascii="Times New Roman" w:hAnsi="Times New Roman" w:cs="Times New Roman"/>
          <w:b/>
          <w:sz w:val="24"/>
          <w:highlight w:val="none"/>
        </w:rPr>
        <w:t>危险化学品理化性质一览</w:t>
      </w:r>
      <w:r>
        <w:rPr>
          <w:rFonts w:hint="default" w:ascii="Times New Roman" w:hAnsi="Times New Roman" w:cs="Times New Roman"/>
          <w:b/>
          <w:sz w:val="24"/>
          <w:highlight w:val="none"/>
          <w:lang w:val="en-US" w:eastAsia="zh-CN"/>
        </w:rPr>
        <w:t>表</w:t>
      </w:r>
    </w:p>
    <w:tbl>
      <w:tblPr>
        <w:tblStyle w:val="21"/>
        <w:tblW w:w="5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1"/>
        <w:gridCol w:w="744"/>
        <w:gridCol w:w="4093"/>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216"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序号</w:t>
            </w:r>
          </w:p>
        </w:tc>
        <w:tc>
          <w:tcPr>
            <w:tcW w:w="373"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名称</w:t>
            </w:r>
          </w:p>
        </w:tc>
        <w:tc>
          <w:tcPr>
            <w:tcW w:w="2057"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理化性质</w:t>
            </w:r>
          </w:p>
        </w:tc>
        <w:tc>
          <w:tcPr>
            <w:tcW w:w="2351"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毒理性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6" w:type="pct"/>
            <w:tcBorders>
              <w:tl2br w:val="nil"/>
              <w:tr2bl w:val="nil"/>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rPr>
              <w:t>1</w:t>
            </w:r>
          </w:p>
        </w:tc>
        <w:tc>
          <w:tcPr>
            <w:tcW w:w="373"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4"/>
                <w:szCs w:val="24"/>
              </w:rPr>
            </w:pPr>
            <w:r>
              <w:rPr>
                <w:rFonts w:hint="default" w:ascii="Times New Roman" w:hAnsi="Times New Roman" w:eastAsia="宋体" w:cs="Times New Roman"/>
                <w:i w:val="0"/>
                <w:iCs w:val="0"/>
                <w:sz w:val="21"/>
                <w:szCs w:val="21"/>
                <w:u w:val="none"/>
              </w:rPr>
              <w:t>硫磺</w:t>
            </w:r>
          </w:p>
        </w:tc>
        <w:tc>
          <w:tcPr>
            <w:tcW w:w="2057"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kern w:val="0"/>
                <w:sz w:val="21"/>
                <w:szCs w:val="21"/>
                <w:lang w:eastAsia="zh-CN"/>
              </w:rPr>
            </w:pPr>
            <w:r>
              <w:rPr>
                <w:rFonts w:hint="eastAsia" w:ascii="Times New Roman" w:hAnsi="Times New Roman" w:eastAsia="宋体" w:cs="Times New Roman"/>
                <w:b w:val="0"/>
                <w:bCs w:val="0"/>
                <w:kern w:val="0"/>
                <w:sz w:val="21"/>
                <w:szCs w:val="21"/>
                <w:lang w:eastAsia="zh-CN"/>
              </w:rPr>
              <w:t>外观与性状：淡黄色脆性结晶或粉末，有特殊臭味</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溶解性：不溶于水，微溶干乙醇、醚，易溶于二硫化碳</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熔点/℃：119</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临界温度/℃：1040</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相对密度（水=1）：2.0</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沸点/℃：444．6</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临界压力/Mpa：11.75</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相自燃温度/℃：232</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饱和蒸汽压/Kpa：0.13／183.8℃</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燃烧性：易燃</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闪点/℃：207</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聚合危害：不能出现</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燃烧(分解)产物：氧化硫</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稳定性：稳定</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禁忌物：强氧化剂</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危险特性：遇明火、高热易燃。与氧化剂混合能形成有爆炸性的混合物。粉体与空气可形成爆炸性混合物，当达到一定的浓度时，遇火星会发生爆炸。</w:t>
            </w:r>
          </w:p>
        </w:tc>
        <w:tc>
          <w:tcPr>
            <w:tcW w:w="2351"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kern w:val="0"/>
                <w:sz w:val="21"/>
                <w:szCs w:val="21"/>
              </w:rPr>
            </w:pPr>
            <w:r>
              <w:rPr>
                <w:rFonts w:hint="eastAsia" w:ascii="Times New Roman" w:hAnsi="Times New Roman" w:eastAsia="宋体" w:cs="Times New Roman"/>
                <w:b w:val="0"/>
                <w:bCs w:val="0"/>
                <w:kern w:val="0"/>
                <w:sz w:val="21"/>
                <w:szCs w:val="21"/>
                <w:lang w:eastAsia="zh-CN"/>
              </w:rPr>
              <w:t>侵入途径：吸入</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食入</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经皮吸收</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毒性：属低毒类</w:t>
            </w:r>
            <w:r>
              <w:rPr>
                <w:rFonts w:hint="eastAsia" w:ascii="Times New Roman" w:hAnsi="Times New Roman" w:cs="Times New Roman"/>
                <w:b w:val="0"/>
                <w:bCs w:val="0"/>
                <w:kern w:val="0"/>
                <w:sz w:val="21"/>
                <w:szCs w:val="21"/>
                <w:lang w:eastAsia="zh-CN"/>
              </w:rPr>
              <w:t>；</w:t>
            </w:r>
            <w:r>
              <w:rPr>
                <w:rFonts w:hint="eastAsia" w:ascii="Times New Roman" w:hAnsi="Times New Roman" w:cs="Times New Roman"/>
                <w:b w:val="0"/>
                <w:bCs w:val="0"/>
                <w:kern w:val="0"/>
                <w:sz w:val="21"/>
                <w:szCs w:val="21"/>
                <w:lang w:val="en-US" w:eastAsia="zh-CN"/>
              </w:rPr>
              <w:t>人体危害：</w:t>
            </w:r>
            <w:r>
              <w:rPr>
                <w:rFonts w:hint="eastAsia" w:ascii="Times New Roman" w:hAnsi="Times New Roman" w:eastAsia="宋体" w:cs="Times New Roman"/>
                <w:b w:val="0"/>
                <w:bCs w:val="0"/>
                <w:kern w:val="0"/>
                <w:sz w:val="21"/>
                <w:szCs w:val="21"/>
                <w:lang w:eastAsia="zh-CN"/>
              </w:rPr>
              <w:t>因其能在肠内部分转化为硫化氢而被吸收，故大量口服可致硫化氢中毒。急性硫化氢中毒的全身毒作用表现为中枢神经系统症状，有头痛、头晕。乏力、呕吐、共济失调、昏迷等。本品可引起眼结膜炎、皮肤湿疹。对皮肤有弱刺激性。生产中长期吸入硫粉尘一般无明显毒性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6" w:hRule="atLeast"/>
          <w:jc w:val="center"/>
        </w:trPr>
        <w:tc>
          <w:tcPr>
            <w:tcW w:w="216" w:type="pct"/>
            <w:tcBorders>
              <w:tl2br w:val="nil"/>
              <w:tr2bl w:val="nil"/>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rPr>
              <w:t>2</w:t>
            </w:r>
          </w:p>
        </w:tc>
        <w:tc>
          <w:tcPr>
            <w:tcW w:w="373" w:type="pct"/>
            <w:tcBorders>
              <w:tl2br w:val="nil"/>
              <w:tr2bl w:val="nil"/>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lang w:val="en-US" w:eastAsia="zh-CN" w:bidi="ar-SA"/>
              </w:rPr>
              <w:t>甲醇</w:t>
            </w:r>
          </w:p>
        </w:tc>
        <w:tc>
          <w:tcPr>
            <w:tcW w:w="2057"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eastAsia" w:ascii="Times New Roman" w:hAnsi="Times New Roman" w:eastAsia="宋体" w:cs="Times New Roman"/>
                <w:b w:val="0"/>
                <w:bCs w:val="0"/>
                <w:kern w:val="0"/>
                <w:sz w:val="21"/>
                <w:szCs w:val="21"/>
                <w:lang w:eastAsia="zh-CN"/>
              </w:rPr>
              <w:t>外观与性状：无色透明液体，有刺激性气味</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溶解性：溶于水，可混溶于醇类、乙醚等多数有机溶剂</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熔点/℃：-97.8</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临界温度/℃：240</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相对密度（水=1）：0.79</w:t>
            </w:r>
          </w:p>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kern w:val="0"/>
                <w:sz w:val="21"/>
                <w:szCs w:val="21"/>
                <w:lang w:eastAsia="zh-CN"/>
              </w:rPr>
            </w:pPr>
            <w:r>
              <w:rPr>
                <w:rFonts w:hint="eastAsia" w:ascii="Times New Roman" w:hAnsi="Times New Roman" w:eastAsia="宋体" w:cs="Times New Roman"/>
                <w:b w:val="0"/>
                <w:bCs w:val="0"/>
                <w:kern w:val="0"/>
                <w:sz w:val="21"/>
                <w:szCs w:val="21"/>
                <w:lang w:eastAsia="zh-CN"/>
              </w:rPr>
              <w:t>沸点/℃：64.7</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临界压力/MPa：7.95</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相对密度（空气=1）：1.1</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饱和蒸汽压/kPa：12.3（20℃）</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燃烧热/（kJ·mol-1）：723</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燃烧性：易燃</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闪点/℃：12（CC）；12.2（OC）</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聚合危害：不聚合</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引燃温度/℃：464</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爆炸极限/%：6~36.5</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稳定性：稳定</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禁配物：酸类、酸酐、强氧化剂、碱金属</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危险特性：易燃，其蒸气与空气可形成爆炸性混合物，遇明火、高热能引起燃烧爆炸。与氧化剂接触发生化学反应或引起燃烧。在火场中，受热的容器有爆炸危险。蒸气比空气重，沿地面扩散并易积存于低洼处，遇火源会着火回燃。</w:t>
            </w:r>
          </w:p>
        </w:tc>
        <w:tc>
          <w:tcPr>
            <w:tcW w:w="2351" w:type="pct"/>
            <w:tcBorders>
              <w:tl2br w:val="nil"/>
              <w:tr2bl w:val="nil"/>
            </w:tcBorders>
            <w:noWrap w:val="0"/>
            <w:vAlign w:val="center"/>
          </w:tcPr>
          <w:p>
            <w:pPr>
              <w:widowControl w:val="0"/>
              <w:spacing w:line="240" w:lineRule="auto"/>
              <w:ind w:firstLine="0" w:firstLineChars="0"/>
              <w:jc w:val="both"/>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侵入途径：吸入、食入、经皮吸收 ；毒性：微毒</w:t>
            </w:r>
          </w:p>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bidi="ar-SA"/>
              </w:rPr>
              <w:t>急性毒性：LD</w:t>
            </w:r>
            <w:r>
              <w:rPr>
                <w:rFonts w:hint="eastAsia" w:ascii="Times New Roman" w:hAnsi="Times New Roman" w:eastAsia="宋体" w:cs="Times New Roman"/>
                <w:b w:val="0"/>
                <w:bCs w:val="0"/>
                <w:kern w:val="0"/>
                <w:sz w:val="21"/>
                <w:szCs w:val="21"/>
                <w:vertAlign w:val="subscript"/>
                <w:lang w:val="en-US" w:eastAsia="zh-CN" w:bidi="ar-SA"/>
              </w:rPr>
              <w:t>50</w:t>
            </w:r>
            <w:r>
              <w:rPr>
                <w:rFonts w:hint="eastAsia" w:ascii="Times New Roman" w:hAnsi="Times New Roman" w:eastAsia="宋体" w:cs="Times New Roman"/>
                <w:b w:val="0"/>
                <w:bCs w:val="0"/>
                <w:kern w:val="0"/>
                <w:sz w:val="21"/>
                <w:szCs w:val="21"/>
                <w:lang w:val="en-US" w:eastAsia="zh-CN" w:bidi="ar-SA"/>
              </w:rPr>
              <w:t xml:space="preserve"> 7300mg/kg（大鼠经口）</w:t>
            </w:r>
            <w:r>
              <w:rPr>
                <w:rFonts w:hint="eastAsia" w:ascii="Times New Roman" w:hAnsi="Times New Roman" w:cs="Times New Roman"/>
                <w:b w:val="0"/>
                <w:bCs w:val="0"/>
                <w:kern w:val="0"/>
                <w:sz w:val="21"/>
                <w:szCs w:val="21"/>
                <w:lang w:val="en-US" w:eastAsia="zh-CN" w:bidi="ar-SA"/>
              </w:rPr>
              <w:t>；</w:t>
            </w:r>
            <w:r>
              <w:rPr>
                <w:rFonts w:hint="eastAsia" w:ascii="Times New Roman" w:hAnsi="Times New Roman" w:eastAsia="宋体" w:cs="Times New Roman"/>
                <w:b w:val="0"/>
                <w:bCs w:val="0"/>
                <w:kern w:val="0"/>
                <w:sz w:val="21"/>
                <w:szCs w:val="21"/>
                <w:lang w:val="en-US" w:eastAsia="zh-CN" w:bidi="ar-SA"/>
              </w:rPr>
              <w:t>LC</w:t>
            </w:r>
            <w:r>
              <w:rPr>
                <w:rFonts w:hint="eastAsia" w:ascii="Times New Roman" w:hAnsi="Times New Roman" w:eastAsia="宋体" w:cs="Times New Roman"/>
                <w:b w:val="0"/>
                <w:bCs w:val="0"/>
                <w:kern w:val="0"/>
                <w:sz w:val="21"/>
                <w:szCs w:val="21"/>
                <w:vertAlign w:val="subscript"/>
                <w:lang w:val="en-US" w:eastAsia="zh-CN" w:bidi="ar-SA"/>
              </w:rPr>
              <w:t>50</w:t>
            </w:r>
            <w:r>
              <w:rPr>
                <w:rFonts w:hint="eastAsia" w:ascii="Times New Roman" w:hAnsi="Times New Roman" w:eastAsia="宋体" w:cs="Times New Roman"/>
                <w:b w:val="0"/>
                <w:bCs w:val="0"/>
                <w:kern w:val="0"/>
                <w:sz w:val="21"/>
                <w:szCs w:val="21"/>
                <w:lang w:val="en-US" w:eastAsia="zh-CN" w:bidi="ar-SA"/>
              </w:rPr>
              <w:t xml:space="preserve">  64000ppm（大鼠吸入，4h）</w:t>
            </w:r>
            <w:r>
              <w:rPr>
                <w:rFonts w:hint="eastAsia" w:ascii="Times New Roman" w:hAnsi="Times New Roman" w:cs="Times New Roman"/>
                <w:b w:val="0"/>
                <w:bCs w:val="0"/>
                <w:kern w:val="0"/>
                <w:sz w:val="21"/>
                <w:szCs w:val="21"/>
                <w:lang w:val="en-US" w:eastAsia="zh-CN" w:bidi="ar-SA"/>
              </w:rPr>
              <w:t>；对人体的危害：</w:t>
            </w:r>
            <w:r>
              <w:rPr>
                <w:rFonts w:hint="eastAsia" w:ascii="Times New Roman" w:hAnsi="Times New Roman" w:eastAsia="宋体" w:cs="Times New Roman"/>
                <w:b w:val="0"/>
                <w:bCs w:val="0"/>
                <w:kern w:val="0"/>
                <w:sz w:val="21"/>
                <w:szCs w:val="21"/>
                <w:lang w:val="en-US" w:eastAsia="zh-CN" w:bidi="ar-SA"/>
              </w:rPr>
              <w:t>急性中毒：大多数为饮用掺有甲醇的酒或饮料所致口服中毒。短期内吸入高浓度甲醇蒸气或容器破裂泄漏经皮肤吸收大量甲醇溶液亦可引起急性或亚急性中毒。中枢神经系统损害轻者表现为头痛、眩晕、乏力、嗜睡和轻度意识等。重者出现昏迷和癫痫样抽搐。少数严重口服中毒者在急性期或恢复期可有锥体外系损害或帕金森综合征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7" w:hRule="atLeast"/>
          <w:jc w:val="center"/>
        </w:trPr>
        <w:tc>
          <w:tcPr>
            <w:tcW w:w="216" w:type="pct"/>
            <w:tcBorders>
              <w:tl2br w:val="nil"/>
              <w:tr2bl w:val="nil"/>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rPr>
              <w:t>3</w:t>
            </w:r>
          </w:p>
        </w:tc>
        <w:tc>
          <w:tcPr>
            <w:tcW w:w="3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环氧</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乙烷</w:t>
            </w:r>
          </w:p>
        </w:tc>
        <w:tc>
          <w:tcPr>
            <w:tcW w:w="2057"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kern w:val="0"/>
                <w:sz w:val="21"/>
                <w:szCs w:val="21"/>
                <w:lang w:eastAsia="zh-CN"/>
              </w:rPr>
            </w:pPr>
            <w:r>
              <w:rPr>
                <w:rFonts w:hint="eastAsia" w:ascii="Times New Roman" w:hAnsi="Times New Roman" w:eastAsia="宋体" w:cs="Times New Roman"/>
                <w:b w:val="0"/>
                <w:bCs w:val="0"/>
                <w:kern w:val="0"/>
                <w:sz w:val="21"/>
                <w:szCs w:val="21"/>
                <w:lang w:val="en-US" w:eastAsia="zh-CN"/>
              </w:rPr>
              <w:t>外观与性状：无色气体</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溶解性：易溶于水、多数有机溶剂</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熔点/℃：-112.2</w:t>
            </w:r>
            <w:r>
              <w:rPr>
                <w:rFonts w:hint="eastAsia" w:ascii="Times New Roman" w:hAnsi="Times New Roman" w:eastAsia="宋体" w:cs="Times New Roman"/>
                <w:b w:val="0"/>
                <w:bCs w:val="0"/>
                <w:kern w:val="0"/>
                <w:sz w:val="21"/>
                <w:szCs w:val="21"/>
                <w:lang w:val="en-US" w:eastAsia="zh-CN"/>
              </w:rPr>
              <w:tab/>
            </w:r>
            <w:r>
              <w:rPr>
                <w:rFonts w:hint="eastAsia" w:ascii="Times New Roman" w:hAnsi="Times New Roman" w:eastAsia="宋体" w:cs="Times New Roman"/>
                <w:b w:val="0"/>
                <w:bCs w:val="0"/>
                <w:kern w:val="0"/>
                <w:sz w:val="21"/>
                <w:szCs w:val="21"/>
                <w:lang w:val="en-US" w:eastAsia="zh-CN"/>
              </w:rPr>
              <w:t>临界温度/℃：195.8</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相对密度（水=1）：0.87</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沸点/℃：10.4</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临界压力/Mpa：7.19</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相对密度（空气=1）：1.52</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最小引燃能量/mJ：0.065</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饱和蒸汽压/Kpa：145.91（20℃）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燃烧热/（kJ·mol-1）：1262.8</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燃烧性：易燃</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闪点/℃：＜-17.8（开杯）</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聚合危害：聚合</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引燃温度/℃：429</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爆炸极限/%：3.0-100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稳定性：不稳定</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爆炸物质级别、组别：ⅡB级T2组</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禁忌物：酸类、碱、醇类、氨、铜</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危险特性：其蒸气能与空气形成范围广阔的爆炸性混合物。遇热源和明火有燃烧爆炸的危险。若遇高热可发生剧烈分解，引起容器破裂或爆炸事故。接触碱金属、氢氧化物或高活性催化剂如铁、锡和铝的无水氯化物及铁和铝的氧化物可大量放热，并可能引起爆炸。</w:t>
            </w:r>
          </w:p>
        </w:tc>
        <w:tc>
          <w:tcPr>
            <w:tcW w:w="2351"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侵入途径：吸入、经皮吸收；毒性：高毒；对人体的危害：是一种中枢神经抑制剂、刺激剂和原浆毒物。急性中毒：患者有剧烈的搏动性头痛、头晕、恶心和呕吐、流泪、呛咳、胸闷、呼吸困难；重者全身肌肉颤动、言语障碍、共济失调、出汗、神志不清，以致昏迷。尚可见心肌损害和肝功能异常。抢救恢复后可有短暂精神失常，迟发性功能性失音或中枢性偏瘫。皮肤接触迅速发生红肿，数小时后起疱，反复接触可致敏。液体溅入眼内，可致角膜灼伤。慢性影响：长期少量接触，可见有神经衰弱综合征和植物神经功能紊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5" w:hRule="atLeast"/>
          <w:jc w:val="center"/>
        </w:trPr>
        <w:tc>
          <w:tcPr>
            <w:tcW w:w="216" w:type="pct"/>
            <w:tcBorders>
              <w:tl2br w:val="nil"/>
              <w:tr2bl w:val="nil"/>
            </w:tcBorders>
            <w:noWrap w:val="0"/>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default" w:ascii="Times New Roman" w:hAnsi="Times New Roman" w:eastAsia="宋体" w:cs="Times New Roman"/>
                <w:i w:val="0"/>
                <w:iCs w:val="0"/>
                <w:sz w:val="21"/>
                <w:szCs w:val="21"/>
                <w:u w:val="none"/>
              </w:rPr>
              <w:t>4</w:t>
            </w:r>
          </w:p>
        </w:tc>
        <w:tc>
          <w:tcPr>
            <w:tcW w:w="3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氢氧</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化钠</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溶液</w:t>
            </w:r>
          </w:p>
        </w:tc>
        <w:tc>
          <w:tcPr>
            <w:tcW w:w="2057"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外观与形状：无色液体</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沸点/℃：1390</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熔点/℃：318.4</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相对密度（水=1）：2.12</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稳定性：稳定</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禁忌物：强酸、易燃或可燃物、二氧化碳、过氧化物、水</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燃烧分解产物：可能产生有害的毒性烟雾</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溶解性：易溶于水、乙醇、甘液，不溶于丙酮</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危险特性：本品不燃，具强腐蚀性、强刺激性，可致人体灼伤。与酸发生中和反应并放热。遇潮时对铝、锌和锡有腐蚀性，并放出易燃易爆的氢气。本品不会燃烧，遇水和水蒸气大量放热，形成腐蚀性溶液。具有强腐蚀性。</w:t>
            </w:r>
          </w:p>
        </w:tc>
        <w:tc>
          <w:tcPr>
            <w:tcW w:w="2351" w:type="pct"/>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侵入途径：吸入、食入</w:t>
            </w:r>
            <w:r>
              <w:rPr>
                <w:rFonts w:hint="eastAsia" w:ascii="Times New Roman" w:hAnsi="Times New Roman" w:cs="Times New Roman"/>
                <w:b w:val="0"/>
                <w:bCs w:val="0"/>
                <w:kern w:val="0"/>
                <w:sz w:val="21"/>
                <w:szCs w:val="21"/>
                <w:lang w:eastAsia="zh-CN"/>
              </w:rPr>
              <w:t>；</w:t>
            </w:r>
            <w:r>
              <w:rPr>
                <w:rFonts w:hint="default" w:ascii="Times New Roman" w:hAnsi="Times New Roman" w:eastAsia="宋体" w:cs="Times New Roman"/>
                <w:b w:val="0"/>
                <w:bCs w:val="0"/>
                <w:kern w:val="0"/>
                <w:sz w:val="21"/>
                <w:szCs w:val="21"/>
              </w:rPr>
              <w:t>本品有强烈刺激和腐蚀性。粉尘刺激眼和呼吸道，腐蚀鼻中隔；皮肤和眼直接接触可引起灼伤；误服可造成消化道灼伤，粘膜糜烂、出血和休克。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5"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5</w:t>
            </w:r>
          </w:p>
        </w:tc>
        <w:tc>
          <w:tcPr>
            <w:tcW w:w="37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氨（液化的）</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外观与性状：无色有刺激性恶臭的气体</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溶解性：易溶于水、乙醇、乙醚</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熔点/℃：-77.7</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临界温度/℃：132.5</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相对密度（水=1）：0.82（-79℃）</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沸点/℃：-33.5</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临界压力/Mpa：11.40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相对密度（空气=1）：0.6</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饱和蒸汽压/Kpa：506.62（4.7℃）</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燃烧性：易燃聚合危害：不聚合</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引燃温度/℃：651</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爆炸极限/%：15.7-27.4</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稳定性：稳定</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爆炸物质级别、组别：ⅡA级T1组</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禁忌物：卤素、酰基氯、酸类、氯仿、强氧化剂</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危险特性：与空气混合能形成爆炸性混合物，遇明火、高热能引起燃烧爆炸，与氟、氯等接触会发生剧烈的化学反应。若遇高热、容器内压增大，有开裂和爆炸的危险。</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eastAsia" w:ascii="Times New Roman" w:hAnsi="Times New Roman" w:eastAsia="宋体" w:cs="Times New Roman"/>
                <w:b w:val="0"/>
                <w:bCs w:val="0"/>
                <w:kern w:val="0"/>
                <w:sz w:val="21"/>
                <w:szCs w:val="21"/>
                <w:lang w:eastAsia="zh-CN"/>
              </w:rPr>
              <w:t>侵入途径：吸入</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毒性：高毒</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急性毒性：LD</w:t>
            </w:r>
            <w:r>
              <w:rPr>
                <w:rFonts w:hint="eastAsia" w:ascii="Times New Roman" w:hAnsi="Times New Roman" w:eastAsia="宋体" w:cs="Times New Roman"/>
                <w:b w:val="0"/>
                <w:bCs w:val="0"/>
                <w:kern w:val="0"/>
                <w:sz w:val="21"/>
                <w:szCs w:val="21"/>
                <w:vertAlign w:val="subscript"/>
                <w:lang w:eastAsia="zh-CN"/>
              </w:rPr>
              <w:t>50</w:t>
            </w:r>
            <w:r>
              <w:rPr>
                <w:rFonts w:hint="eastAsia" w:ascii="Times New Roman" w:hAnsi="Times New Roman" w:eastAsia="宋体" w:cs="Times New Roman"/>
                <w:b w:val="0"/>
                <w:bCs w:val="0"/>
                <w:kern w:val="0"/>
                <w:sz w:val="21"/>
                <w:szCs w:val="21"/>
                <w:lang w:eastAsia="zh-CN"/>
              </w:rPr>
              <w:t xml:space="preserve"> 350mg/kg（大鼠经口） LC</w:t>
            </w:r>
            <w:r>
              <w:rPr>
                <w:rFonts w:hint="eastAsia" w:ascii="Times New Roman" w:hAnsi="Times New Roman" w:eastAsia="宋体" w:cs="Times New Roman"/>
                <w:b w:val="0"/>
                <w:bCs w:val="0"/>
                <w:kern w:val="0"/>
                <w:sz w:val="21"/>
                <w:szCs w:val="21"/>
                <w:vertAlign w:val="subscript"/>
                <w:lang w:eastAsia="zh-CN"/>
              </w:rPr>
              <w:t>50</w:t>
            </w:r>
            <w:r>
              <w:rPr>
                <w:rFonts w:hint="eastAsia" w:ascii="Times New Roman" w:hAnsi="Times New Roman" w:eastAsia="宋体" w:cs="Times New Roman"/>
                <w:b w:val="0"/>
                <w:bCs w:val="0"/>
                <w:kern w:val="0"/>
                <w:sz w:val="21"/>
                <w:szCs w:val="21"/>
                <w:lang w:eastAsia="zh-CN"/>
              </w:rPr>
              <w:t xml:space="preserve"> 1390mg/m3,4小时（大鼠吸入）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3"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6</w:t>
            </w:r>
          </w:p>
        </w:tc>
        <w:tc>
          <w:tcPr>
            <w:tcW w:w="37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五氧化二钒</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外观与性状：黄至铁锈色斜方晶系结晶</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溶解性：微溶于水，溶于浓酸成红至黄色溶液，溶于碱生成钒酸盐，不溶于醇</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熔点/℃：690</w:t>
            </w:r>
            <w:r>
              <w:rPr>
                <w:rFonts w:hint="eastAsia" w:ascii="Times New Roman" w:hAnsi="Times New Roman" w:cs="Times New Roman"/>
                <w:b w:val="0"/>
                <w:bCs w:val="0"/>
                <w:kern w:val="0"/>
                <w:sz w:val="21"/>
                <w:szCs w:val="21"/>
                <w:lang w:val="en-US" w:eastAsia="zh-CN"/>
              </w:rPr>
              <w:t>；相对密度（水=1）：3.35；沸点/℃：700-1125时分解失去氧；危险特性：本品与三氟化氯、锂接触剧烈反应；灭火方法：消防人员必须穿戴全身防护服；用水和砂土灭火。</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eastAsia" w:ascii="Times New Roman" w:hAnsi="Times New Roman" w:eastAsia="宋体" w:cs="Times New Roman"/>
                <w:b w:val="0"/>
                <w:bCs w:val="0"/>
                <w:kern w:val="0"/>
                <w:sz w:val="21"/>
                <w:szCs w:val="21"/>
                <w:lang w:eastAsia="zh-CN"/>
              </w:rPr>
              <w:t>毒性：剧毒</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急性毒性：LD</w:t>
            </w:r>
            <w:r>
              <w:rPr>
                <w:rFonts w:hint="eastAsia" w:ascii="Times New Roman" w:hAnsi="Times New Roman" w:eastAsia="宋体" w:cs="Times New Roman"/>
                <w:b w:val="0"/>
                <w:bCs w:val="0"/>
                <w:kern w:val="0"/>
                <w:sz w:val="21"/>
                <w:szCs w:val="21"/>
                <w:vertAlign w:val="subscript"/>
                <w:lang w:eastAsia="zh-CN"/>
              </w:rPr>
              <w:t>50</w:t>
            </w:r>
            <w:r>
              <w:rPr>
                <w:rFonts w:hint="eastAsia" w:ascii="Times New Roman" w:hAnsi="Times New Roman" w:eastAsia="宋体" w:cs="Times New Roman"/>
                <w:b w:val="0"/>
                <w:bCs w:val="0"/>
                <w:kern w:val="0"/>
                <w:sz w:val="21"/>
                <w:szCs w:val="21"/>
                <w:lang w:eastAsia="zh-CN"/>
              </w:rPr>
              <w:t xml:space="preserve">  70mg/m3,2小时（大鼠吸入） LD</w:t>
            </w:r>
            <w:r>
              <w:rPr>
                <w:rFonts w:hint="eastAsia" w:ascii="Times New Roman" w:hAnsi="Times New Roman" w:eastAsia="宋体" w:cs="Times New Roman"/>
                <w:b w:val="0"/>
                <w:bCs w:val="0"/>
                <w:kern w:val="0"/>
                <w:sz w:val="21"/>
                <w:szCs w:val="21"/>
                <w:vertAlign w:val="subscript"/>
                <w:lang w:eastAsia="zh-CN"/>
              </w:rPr>
              <w:t>50</w:t>
            </w:r>
            <w:r>
              <w:rPr>
                <w:rFonts w:hint="eastAsia" w:ascii="Times New Roman" w:hAnsi="Times New Roman" w:eastAsia="宋体" w:cs="Times New Roman"/>
                <w:b w:val="0"/>
                <w:bCs w:val="0"/>
                <w:kern w:val="0"/>
                <w:sz w:val="21"/>
                <w:szCs w:val="21"/>
                <w:lang w:eastAsia="zh-CN"/>
              </w:rPr>
              <w:t xml:space="preserve"> 23mg/kg（小鼠经口）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8"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7</w:t>
            </w:r>
          </w:p>
        </w:tc>
        <w:tc>
          <w:tcPr>
            <w:tcW w:w="37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二氧</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化硫</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（液化的）</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外观与性状：无色气体，具有窒息性特臭</w:t>
            </w:r>
            <w:r>
              <w:rPr>
                <w:rFonts w:hint="eastAsia" w:ascii="Times New Roman" w:hAnsi="Times New Roman" w:cs="Times New Roman"/>
                <w:b w:val="0"/>
                <w:bCs w:val="0"/>
                <w:kern w:val="0"/>
                <w:sz w:val="21"/>
                <w:szCs w:val="21"/>
                <w:lang w:val="en-US" w:eastAsia="zh-CN"/>
              </w:rPr>
              <w:t>；</w:t>
            </w:r>
          </w:p>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溶解性：溶于水、乙醇</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熔点/℃：-75.5</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临界温度/℃：157.8</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相对密度（水=1）：1.43</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沸点/℃：-10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临界压力/Mpa：7.87</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相对密度（空气=1）：2.26</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饱和蒸汽压/Kpa：338.42（21.1℃）</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燃烧性：不燃</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聚合危害：不聚合</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稳定性：稳定</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禁忌物：强还原剂、强氧化剂、易燃或可燃物</w:t>
            </w:r>
          </w:p>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危险特性：不燃。若遇高热，容器内压增大，有开裂和爆炸的危险。</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eastAsia" w:ascii="Times New Roman" w:hAnsi="Times New Roman" w:eastAsia="宋体" w:cs="Times New Roman"/>
                <w:b w:val="0"/>
                <w:bCs w:val="0"/>
                <w:kern w:val="0"/>
                <w:sz w:val="21"/>
                <w:szCs w:val="21"/>
                <w:lang w:eastAsia="zh-CN"/>
              </w:rPr>
              <w:t>入途径：吸入</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毒性：中度</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急性毒性：LC50  6600mg/m</w:t>
            </w:r>
            <w:r>
              <w:rPr>
                <w:rFonts w:hint="eastAsia" w:ascii="Times New Roman" w:hAnsi="Times New Roman" w:eastAsia="宋体" w:cs="Times New Roman"/>
                <w:b w:val="0"/>
                <w:bCs w:val="0"/>
                <w:kern w:val="0"/>
                <w:sz w:val="21"/>
                <w:szCs w:val="21"/>
                <w:vertAlign w:val="superscript"/>
                <w:lang w:eastAsia="zh-CN"/>
              </w:rPr>
              <w:t>3</w:t>
            </w:r>
            <w:r>
              <w:rPr>
                <w:rFonts w:hint="eastAsia" w:ascii="Times New Roman" w:hAnsi="Times New Roman" w:eastAsia="宋体" w:cs="Times New Roman"/>
                <w:b w:val="0"/>
                <w:bCs w:val="0"/>
                <w:kern w:val="0"/>
                <w:sz w:val="21"/>
                <w:szCs w:val="21"/>
                <w:lang w:eastAsia="zh-CN"/>
              </w:rPr>
              <w:t>,1小时（大鼠吸入）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5"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8</w:t>
            </w:r>
          </w:p>
        </w:tc>
        <w:tc>
          <w:tcPr>
            <w:tcW w:w="37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三氧</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化硫</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外观与性状：针状固体或液体，有刺激性气味</w:t>
            </w:r>
            <w:r>
              <w:rPr>
                <w:rFonts w:hint="eastAsia" w:ascii="Times New Roman" w:hAnsi="Times New Roman" w:cs="Times New Roman"/>
                <w:b w:val="0"/>
                <w:bCs w:val="0"/>
                <w:kern w:val="0"/>
                <w:sz w:val="21"/>
                <w:szCs w:val="21"/>
                <w:lang w:val="en-US" w:eastAsia="zh-CN"/>
              </w:rPr>
              <w:t>；熔点/℃：16.8；沸点/℃：44.8；相对密度（水=1）：1.97；相对密度（空气=1）：2.8；沸点/℃：44.8；避免接触的条件：接触潮湿空气。饱和蒸汽压/Kpa：37.32／25℃；燃烧性：助燃；聚合危害：不能出现；稳定性：稳定；禁忌物：强碱、强还原剂、活性金属粉末、水、易燃或可燃物。危险特性：具有强氧化性。与有机物、还原剂、易燃物如硫、磷等接触或混合时有引起燃烧爆炸的危险。与水能发生强烈反应。</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kern w:val="0"/>
                <w:sz w:val="21"/>
                <w:szCs w:val="21"/>
                <w:lang w:val="en-US" w:eastAsia="zh-CN"/>
              </w:rPr>
            </w:pPr>
            <w:r>
              <w:rPr>
                <w:rFonts w:hint="eastAsia" w:ascii="Times New Roman" w:hAnsi="Times New Roman" w:cs="Times New Roman"/>
                <w:b w:val="0"/>
                <w:bCs w:val="0"/>
                <w:kern w:val="0"/>
                <w:sz w:val="21"/>
                <w:szCs w:val="21"/>
                <w:lang w:val="en-US" w:eastAsia="zh-CN"/>
              </w:rPr>
              <w:t>人体危害：其毒性表现与硫酸同。对皮肤、粘膜等组织有强烈的刺激和腐蚀作用。可引起结膜炎、水肿、角膜混浊，以致失明；引起呼吸道刺激症状，重者发生呼吸困难和肺水肿；高浓度引起喉痉挛或声门水肿而死亡。口服后引起消化道的烧伤以至溃疡形成。严重者可能有胃穿孔、腹膜炎、喉痉挛和声门水肿、肾损害、休克等。慢性影响有牙齿酸蚀症、慢性支气管炎、肺水肿和肝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6"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9</w:t>
            </w:r>
          </w:p>
        </w:tc>
        <w:tc>
          <w:tcPr>
            <w:tcW w:w="37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亚硫酸氢钠</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分子式：NaHSO</w:t>
            </w:r>
            <w:r>
              <w:rPr>
                <w:rFonts w:hint="eastAsia" w:ascii="Times New Roman" w:hAnsi="Times New Roman" w:eastAsia="宋体" w:cs="Times New Roman"/>
                <w:b w:val="0"/>
                <w:bCs w:val="0"/>
                <w:kern w:val="0"/>
                <w:sz w:val="21"/>
                <w:szCs w:val="21"/>
                <w:vertAlign w:val="subscript"/>
                <w:lang w:val="en-US" w:eastAsia="zh-CN"/>
              </w:rPr>
              <w:t>3</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分子量：104．06</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外观与性状：白色结晶粉末，有二氧化硫的气味</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溶解性：易溶于水，微溶于醇、乙醚。</w:t>
            </w:r>
          </w:p>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相对密度（水=1）：1．48(20℃)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燃烧性：不燃</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聚合危害：不聚合</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稳定性：稳定</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避免接触的条件：接触空气</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禁忌物：强氧化剂、强酸、强碱</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危险特性：具有强还原性。有腐蚀性。接触酸或酸气能产生有毒气体。受高热分解，放出有毒的烟气。</w:t>
            </w:r>
          </w:p>
        </w:tc>
        <w:tc>
          <w:tcPr>
            <w:tcW w:w="2351" w:type="pct"/>
            <w:vAlign w:val="center"/>
          </w:tcPr>
          <w:p>
            <w:pPr>
              <w:pStyle w:val="88"/>
              <w:jc w:val="both"/>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bidi="ar-SA"/>
              </w:rPr>
              <w:t>侵入途径：吸入、食入；毒性：LD</w:t>
            </w:r>
            <w:r>
              <w:rPr>
                <w:rFonts w:hint="eastAsia" w:ascii="Times New Roman" w:hAnsi="Times New Roman" w:eastAsia="宋体" w:cs="Times New Roman"/>
                <w:b w:val="0"/>
                <w:bCs w:val="0"/>
                <w:kern w:val="0"/>
                <w:sz w:val="21"/>
                <w:szCs w:val="21"/>
                <w:vertAlign w:val="subscript"/>
                <w:lang w:val="en-US" w:eastAsia="zh-CN" w:bidi="ar-SA"/>
              </w:rPr>
              <w:t>50</w:t>
            </w:r>
            <w:r>
              <w:rPr>
                <w:rFonts w:hint="eastAsia" w:ascii="Times New Roman" w:hAnsi="Times New Roman" w:eastAsia="宋体" w:cs="Times New Roman"/>
                <w:b w:val="0"/>
                <w:bCs w:val="0"/>
                <w:kern w:val="0"/>
                <w:sz w:val="21"/>
                <w:szCs w:val="21"/>
                <w:lang w:val="en-US" w:eastAsia="zh-CN" w:bidi="ar-SA"/>
              </w:rPr>
              <w:t>：2000mg／kg(大鼠经口)</w:t>
            </w:r>
            <w:r>
              <w:rPr>
                <w:rFonts w:hint="eastAsia" w:ascii="Times New Roman" w:hAnsi="Times New Roman" w:cs="Times New Roman"/>
                <w:b w:val="0"/>
                <w:bCs w:val="0"/>
                <w:kern w:val="0"/>
                <w:sz w:val="21"/>
                <w:szCs w:val="21"/>
                <w:lang w:val="en-US" w:eastAsia="zh-CN" w:bidi="ar-SA"/>
              </w:rPr>
              <w:t>。</w:t>
            </w:r>
          </w:p>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2"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eastAsia"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10</w:t>
            </w:r>
          </w:p>
        </w:tc>
        <w:tc>
          <w:tcPr>
            <w:tcW w:w="37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二氧</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化碳</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eastAsia="宋体" w:cs="Times New Roman"/>
                <w:b w:val="0"/>
                <w:bCs w:val="0"/>
                <w:kern w:val="0"/>
                <w:sz w:val="21"/>
                <w:szCs w:val="21"/>
                <w:lang w:val="en-US" w:eastAsia="zh-CN"/>
              </w:rPr>
              <w:t>外观与性状：无色无味气体</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溶解性：溶于水，溶于烃类等多数有机溶剂</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熔点/℃：-56.6（527 kPa）</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临界温度/℃：31.8</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相对密度（水=1）：1.56（-79℃）</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沸点/℃：-78.5（升华）</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临界压力/MPa：7.39</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相对密度（空气=1）：1.53</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饱和蒸汽压/kPa：1013.25（-39℃）</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闪点/℃：不燃</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聚合危害：不聚合</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稳定性：稳定</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危险特性：若遇高热，容器内压增大，有开裂和爆炸的危险。</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rPr>
              <w:t>人体危害：</w:t>
            </w:r>
            <w:r>
              <w:rPr>
                <w:rFonts w:hint="eastAsia" w:ascii="Times New Roman" w:hAnsi="Times New Roman" w:eastAsia="宋体" w:cs="Times New Roman"/>
                <w:b w:val="0"/>
                <w:bCs w:val="0"/>
                <w:kern w:val="0"/>
                <w:sz w:val="21"/>
                <w:szCs w:val="21"/>
                <w:lang w:eastAsia="zh-CN"/>
              </w:rPr>
              <w:t>在低浓度时，对呼吸中枢呈兴奋作用，高浓度时则产生抑制甚至麻痹作用。中毒机制中还兼有缺氧的因素。急性中毒：轻度中毒出现头晕、头痛、疲乏、恶心等，脱离接触后较快恢复。人进入高浓度二氧化碳环境，在几秒钟内迅速昏迷倒下，反射消失、瞳孔扩大或缩小、大小便失禁、呕吐等，更严重者出现呼吸、心跳停止及休克，甚至死亡。慢性影响：经常接触较高浓度的二氧化碳者，可有头晕、头痛、失眠、易兴奋、无力等神经功能紊乱等。但在生产中是否存在慢性中毒国内外均未见病例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2"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11</w:t>
            </w:r>
          </w:p>
        </w:tc>
        <w:tc>
          <w:tcPr>
            <w:tcW w:w="37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kern w:val="1"/>
                <w:sz w:val="21"/>
                <w:szCs w:val="21"/>
                <w:highlight w:val="none"/>
                <w:lang w:val="en-US" w:eastAsia="zh-CN"/>
              </w:rPr>
            </w:pPr>
            <w:r>
              <w:rPr>
                <w:rFonts w:hint="eastAsia" w:ascii="Times New Roman" w:hAnsi="Times New Roman" w:cs="Times New Roman"/>
                <w:kern w:val="1"/>
                <w:sz w:val="21"/>
                <w:szCs w:val="21"/>
                <w:highlight w:val="none"/>
                <w:lang w:val="en-US" w:eastAsia="zh-CN"/>
              </w:rPr>
              <w:t>甲酸</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甲酯</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外观与性状：无色液体，有芳香气味</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溶解性：溶于水、乙醇、乙醚、甲醇</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熔点/℃：-99．8</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临界温度/℃：214</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相对密度（水=1）：0．98</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沸点/℃：32．0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临界压力/Mpa：6.00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相对密度（空气=1）：2．07</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避免接触条件：受热</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饱和蒸汽压/Kpa：53．32／16℃</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燃烧热/（kJ·mol-1）：978．7</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燃烧性：易燃</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闪点/℃：-32</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聚合危害：不聚合</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自燃温度/℃：449</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爆炸极限/%：4.5/32.0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稳定性：稳定</w:t>
            </w:r>
          </w:p>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禁忌物：强氧化剂、碱类</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危险特性：其蒸气与空气形成爆炸性混合物，遇明火、高热能引起燃烧爆炸。与氧化剂能发生强烈反应。其蒸气比空气重，能在较低处扩散到相当远的地方，遇火源引着回燃。若遇高热，容器内压增大，有开裂和爆炸的危险。</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eastAsia" w:ascii="Times New Roman" w:hAnsi="Times New Roman" w:eastAsia="宋体" w:cs="Times New Roman"/>
                <w:b w:val="0"/>
                <w:bCs w:val="0"/>
                <w:kern w:val="0"/>
                <w:sz w:val="21"/>
                <w:szCs w:val="21"/>
                <w:lang w:eastAsia="zh-CN"/>
              </w:rPr>
              <w:t>侵入途径：吸入</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食入</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经皮吸收</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毒性：LD</w:t>
            </w:r>
            <w:r>
              <w:rPr>
                <w:rFonts w:hint="eastAsia" w:ascii="Times New Roman" w:hAnsi="Times New Roman" w:eastAsia="宋体" w:cs="Times New Roman"/>
                <w:b w:val="0"/>
                <w:bCs w:val="0"/>
                <w:kern w:val="0"/>
                <w:sz w:val="21"/>
                <w:szCs w:val="21"/>
                <w:vertAlign w:val="subscript"/>
                <w:lang w:eastAsia="zh-CN"/>
              </w:rPr>
              <w:t>50</w:t>
            </w:r>
            <w:r>
              <w:rPr>
                <w:rFonts w:hint="eastAsia" w:ascii="Times New Roman" w:hAnsi="Times New Roman" w:eastAsia="宋体" w:cs="Times New Roman"/>
                <w:b w:val="0"/>
                <w:bCs w:val="0"/>
                <w:kern w:val="0"/>
                <w:sz w:val="21"/>
                <w:szCs w:val="21"/>
                <w:lang w:eastAsia="zh-CN"/>
              </w:rPr>
              <w:t>：1622mg／kg(兔经口)</w:t>
            </w:r>
            <w:r>
              <w:rPr>
                <w:rFonts w:hint="eastAsia" w:ascii="Times New Roman" w:hAnsi="Times New Roman" w:cs="Times New Roman"/>
                <w:b w:val="0"/>
                <w:bCs w:val="0"/>
                <w:kern w:val="0"/>
                <w:sz w:val="21"/>
                <w:szCs w:val="21"/>
                <w:lang w:eastAsia="zh-CN"/>
              </w:rPr>
              <w:t>；</w:t>
            </w:r>
            <w:r>
              <w:rPr>
                <w:rFonts w:hint="eastAsia" w:ascii="Times New Roman" w:hAnsi="Times New Roman" w:cs="Times New Roman"/>
                <w:b w:val="0"/>
                <w:bCs w:val="0"/>
                <w:kern w:val="0"/>
                <w:sz w:val="21"/>
                <w:szCs w:val="21"/>
                <w:lang w:val="en-US" w:eastAsia="zh-CN"/>
              </w:rPr>
              <w:t>对人体危害：</w:t>
            </w:r>
            <w:r>
              <w:rPr>
                <w:rFonts w:hint="eastAsia" w:ascii="Times New Roman" w:hAnsi="Times New Roman" w:cs="Times New Roman"/>
                <w:b w:val="0"/>
                <w:bCs w:val="0"/>
                <w:kern w:val="0"/>
                <w:sz w:val="21"/>
                <w:szCs w:val="21"/>
                <w:lang w:eastAsia="zh-CN"/>
              </w:rPr>
              <w:t>本品有麻醉和刺激作用。人接触一定浓度的本品，发生明显的刺激作用；反复接触，可致痉挛和死亡。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3"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12</w:t>
            </w:r>
          </w:p>
        </w:tc>
        <w:tc>
          <w:tcPr>
            <w:tcW w:w="37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连二亚硫酸钠（保险粉）</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密度</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2.189 [MER06]</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分子式</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Na</w:t>
            </w:r>
            <w:r>
              <w:rPr>
                <w:rFonts w:hint="eastAsia" w:ascii="Times New Roman" w:hAnsi="Times New Roman" w:eastAsia="宋体" w:cs="Times New Roman"/>
                <w:b w:val="0"/>
                <w:bCs w:val="0"/>
                <w:kern w:val="0"/>
                <w:sz w:val="21"/>
                <w:szCs w:val="21"/>
                <w:vertAlign w:val="subscript"/>
                <w:lang w:val="en-US" w:eastAsia="zh-CN"/>
              </w:rPr>
              <w:t>2</w:t>
            </w:r>
            <w:r>
              <w:rPr>
                <w:rFonts w:hint="eastAsia" w:ascii="Times New Roman" w:hAnsi="Times New Roman" w:eastAsia="宋体" w:cs="Times New Roman"/>
                <w:b w:val="0"/>
                <w:bCs w:val="0"/>
                <w:kern w:val="0"/>
                <w:sz w:val="21"/>
                <w:szCs w:val="21"/>
                <w:lang w:val="en-US" w:eastAsia="zh-CN"/>
              </w:rPr>
              <w:t>O</w:t>
            </w:r>
            <w:r>
              <w:rPr>
                <w:rFonts w:hint="eastAsia" w:ascii="Times New Roman" w:hAnsi="Times New Roman" w:eastAsia="宋体" w:cs="Times New Roman"/>
                <w:b w:val="0"/>
                <w:bCs w:val="0"/>
                <w:kern w:val="0"/>
                <w:sz w:val="21"/>
                <w:szCs w:val="21"/>
                <w:vertAlign w:val="subscript"/>
                <w:lang w:val="en-US" w:eastAsia="zh-CN"/>
              </w:rPr>
              <w:t>6</w:t>
            </w:r>
            <w:r>
              <w:rPr>
                <w:rFonts w:hint="eastAsia" w:ascii="Times New Roman" w:hAnsi="Times New Roman" w:eastAsia="宋体" w:cs="Times New Roman"/>
                <w:b w:val="0"/>
                <w:bCs w:val="0"/>
                <w:kern w:val="0"/>
                <w:sz w:val="21"/>
                <w:szCs w:val="21"/>
                <w:lang w:val="en-US" w:eastAsia="zh-CN"/>
              </w:rPr>
              <w:t>S</w:t>
            </w:r>
            <w:r>
              <w:rPr>
                <w:rFonts w:hint="eastAsia" w:ascii="Times New Roman" w:hAnsi="Times New Roman" w:eastAsia="宋体" w:cs="Times New Roman"/>
                <w:b w:val="0"/>
                <w:bCs w:val="0"/>
                <w:kern w:val="0"/>
                <w:sz w:val="21"/>
                <w:szCs w:val="21"/>
                <w:vertAlign w:val="subscript"/>
                <w:lang w:val="en-US" w:eastAsia="zh-CN"/>
              </w:rPr>
              <w:t>2</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分子量</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206.10600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PSA</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131.16000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LogP</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0.15340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外观性状</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固体</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储存条件</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应贮存在阴凉、通风、干燥库房中。防潮湿，防日光直接照射，远离火源，不得与水或水蒸气相接触，不得与氧化剂或其他易燃物品共贮混运。用后立即将口扎好，加盖，妥善保存</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eastAsia="zh-CN"/>
              </w:rPr>
              <w:t>侵入途径：吸入</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食入</w:t>
            </w:r>
            <w:r>
              <w:rPr>
                <w:rFonts w:hint="eastAsia" w:ascii="Times New Roman" w:hAnsi="Times New Roman" w:cs="Times New Roman"/>
                <w:b w:val="0"/>
                <w:bCs w:val="0"/>
                <w:kern w:val="0"/>
                <w:sz w:val="21"/>
                <w:szCs w:val="21"/>
                <w:lang w:eastAsia="zh-CN"/>
              </w:rPr>
              <w:t>、</w:t>
            </w:r>
            <w:r>
              <w:rPr>
                <w:rFonts w:hint="eastAsia" w:ascii="Times New Roman" w:hAnsi="Times New Roman" w:eastAsia="宋体" w:cs="Times New Roman"/>
                <w:b w:val="0"/>
                <w:bCs w:val="0"/>
                <w:kern w:val="0"/>
                <w:sz w:val="21"/>
                <w:szCs w:val="21"/>
                <w:lang w:eastAsia="zh-CN"/>
              </w:rPr>
              <w:t>经皮吸收</w:t>
            </w:r>
            <w:r>
              <w:rPr>
                <w:rFonts w:hint="eastAsia" w:ascii="Times New Roman" w:hAnsi="Times New Roman" w:cs="Times New Roman"/>
                <w:b w:val="0"/>
                <w:bCs w:val="0"/>
                <w:kern w:val="0"/>
                <w:sz w:val="21"/>
                <w:szCs w:val="21"/>
                <w:lang w:eastAsia="zh-CN"/>
              </w:rPr>
              <w:t>；</w:t>
            </w:r>
            <w:r>
              <w:rPr>
                <w:rFonts w:hint="eastAsia" w:ascii="Times New Roman" w:hAnsi="Times New Roman" w:cs="Times New Roman"/>
                <w:b w:val="0"/>
                <w:bCs w:val="0"/>
                <w:kern w:val="0"/>
                <w:sz w:val="21"/>
                <w:szCs w:val="21"/>
                <w:lang w:val="en-US" w:eastAsia="zh-CN"/>
              </w:rPr>
              <w:t>健康危害</w:t>
            </w:r>
            <w:r>
              <w:rPr>
                <w:rFonts w:hint="eastAsia" w:ascii="Times New Roman" w:hAnsi="Times New Roman" w:eastAsia="宋体" w:cs="Times New Roman"/>
                <w:b w:val="0"/>
                <w:bCs w:val="0"/>
                <w:kern w:val="0"/>
                <w:sz w:val="21"/>
                <w:szCs w:val="21"/>
                <w:lang w:eastAsia="zh-CN"/>
              </w:rPr>
              <w:t>：</w:t>
            </w:r>
            <w:r>
              <w:rPr>
                <w:rFonts w:hint="eastAsia" w:ascii="Times New Roman" w:hAnsi="Times New Roman" w:cs="Times New Roman"/>
                <w:b w:val="0"/>
                <w:bCs w:val="0"/>
                <w:kern w:val="0"/>
                <w:sz w:val="21"/>
                <w:szCs w:val="21"/>
                <w:lang w:val="en-US" w:eastAsia="zh-CN"/>
              </w:rPr>
              <w:t>本品对眼、呼吸道和皮肤有刺激性，接触后可引起头痛、恶心和呕吐。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4"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13</w:t>
            </w:r>
          </w:p>
        </w:tc>
        <w:tc>
          <w:tcPr>
            <w:tcW w:w="37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硫酸</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i w:val="0"/>
                <w:iCs w:val="0"/>
                <w:caps w:val="0"/>
                <w:color w:val="auto"/>
                <w:spacing w:val="0"/>
                <w:sz w:val="21"/>
                <w:szCs w:val="21"/>
                <w:shd w:val="clear" w:fill="FFFFFF"/>
              </w:rPr>
              <w:t>无水硫酸为无色油状液体，10.36℃时结晶，通常使用的是它的各种不同浓度的水溶液，用</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"https://baike.so.com/doc/4883217-5101179.html" \t "https://baike.so.com/doc/_blank"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25"/>
                <w:rFonts w:hint="default" w:ascii="Times New Roman" w:hAnsi="Times New Roman" w:eastAsia="宋体" w:cs="Times New Roman"/>
                <w:i w:val="0"/>
                <w:iCs w:val="0"/>
                <w:caps w:val="0"/>
                <w:color w:val="auto"/>
                <w:spacing w:val="0"/>
                <w:sz w:val="21"/>
                <w:szCs w:val="21"/>
                <w:u w:val="none"/>
                <w:shd w:val="clear" w:fill="FFFFFF"/>
              </w:rPr>
              <w:t>塔式法</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Times New Roman" w:hAnsi="Times New Roman" w:eastAsia="宋体" w:cs="Times New Roman"/>
                <w:i w:val="0"/>
                <w:iCs w:val="0"/>
                <w:caps w:val="0"/>
                <w:color w:val="auto"/>
                <w:spacing w:val="0"/>
                <w:sz w:val="21"/>
                <w:szCs w:val="21"/>
                <w:shd w:val="clear" w:fill="FFFFFF"/>
              </w:rPr>
              <w:t>和</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"https://baike.so.com/doc/6290327-6503821.html" \t "https://baike.so.com/doc/_blank"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25"/>
                <w:rFonts w:hint="default" w:ascii="Times New Roman" w:hAnsi="Times New Roman" w:eastAsia="宋体" w:cs="Times New Roman"/>
                <w:i w:val="0"/>
                <w:iCs w:val="0"/>
                <w:caps w:val="0"/>
                <w:color w:val="auto"/>
                <w:spacing w:val="0"/>
                <w:sz w:val="21"/>
                <w:szCs w:val="21"/>
                <w:u w:val="none"/>
                <w:shd w:val="clear" w:fill="FFFFFF"/>
              </w:rPr>
              <w:t>接触法</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Times New Roman" w:hAnsi="Times New Roman" w:eastAsia="宋体" w:cs="Times New Roman"/>
                <w:i w:val="0"/>
                <w:iCs w:val="0"/>
                <w:caps w:val="0"/>
                <w:color w:val="auto"/>
                <w:spacing w:val="0"/>
                <w:sz w:val="21"/>
                <w:szCs w:val="21"/>
                <w:shd w:val="clear" w:fill="FFFFFF"/>
              </w:rPr>
              <w:t>制取。前者所得为粗制稀硫酸，质量分数一般在75%左右;后者可得质量分数98.3%的纯浓硫酸，沸点338℃，相对密度1.84。</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i w:val="0"/>
                <w:iCs w:val="0"/>
                <w:caps w:val="0"/>
                <w:color w:val="auto"/>
                <w:spacing w:val="0"/>
                <w:sz w:val="21"/>
                <w:szCs w:val="21"/>
                <w:shd w:val="clear" w:fill="FFFFFF"/>
              </w:rPr>
              <w:t>属中等毒性</w:t>
            </w:r>
            <w:r>
              <w:rPr>
                <w:rFonts w:hint="eastAsia" w:ascii="Times New Roman" w:hAnsi="Times New Roman" w:eastAsia="宋体" w:cs="Times New Roman"/>
                <w:b w:val="0"/>
                <w:bCs w:val="0"/>
                <w:i w:val="0"/>
                <w:iCs w:val="0"/>
                <w:caps w:val="0"/>
                <w:color w:val="auto"/>
                <w:spacing w:val="0"/>
                <w:sz w:val="21"/>
                <w:szCs w:val="21"/>
                <w:shd w:val="clear" w:fill="FFFFFF"/>
                <w:lang w:eastAsia="zh-CN"/>
              </w:rPr>
              <w:t>；</w:t>
            </w:r>
            <w:r>
              <w:rPr>
                <w:rFonts w:hint="default" w:ascii="Times New Roman" w:hAnsi="Times New Roman" w:eastAsia="宋体" w:cs="Times New Roman"/>
                <w:b w:val="0"/>
                <w:bCs w:val="0"/>
                <w:i w:val="0"/>
                <w:iCs w:val="0"/>
                <w:caps w:val="0"/>
                <w:color w:val="auto"/>
                <w:spacing w:val="0"/>
                <w:sz w:val="21"/>
                <w:szCs w:val="21"/>
                <w:shd w:val="clear" w:fill="FFFFFF"/>
              </w:rPr>
              <w:t>急性毒性：LD</w:t>
            </w:r>
            <w:r>
              <w:rPr>
                <w:rFonts w:hint="default" w:ascii="Times New Roman" w:hAnsi="Times New Roman" w:eastAsia="宋体" w:cs="Times New Roman"/>
                <w:b w:val="0"/>
                <w:bCs w:val="0"/>
                <w:i w:val="0"/>
                <w:iCs w:val="0"/>
                <w:caps w:val="0"/>
                <w:color w:val="auto"/>
                <w:spacing w:val="0"/>
                <w:sz w:val="21"/>
                <w:szCs w:val="21"/>
                <w:shd w:val="clear" w:fill="FFFFFF"/>
                <w:vertAlign w:val="subscript"/>
              </w:rPr>
              <w:t>50</w:t>
            </w:r>
            <w:r>
              <w:rPr>
                <w:rFonts w:hint="default" w:ascii="Times New Roman" w:hAnsi="Times New Roman" w:eastAsia="宋体" w:cs="Times New Roman"/>
                <w:b w:val="0"/>
                <w:bCs w:val="0"/>
                <w:i w:val="0"/>
                <w:iCs w:val="0"/>
                <w:caps w:val="0"/>
                <w:color w:val="auto"/>
                <w:spacing w:val="0"/>
                <w:sz w:val="21"/>
                <w:szCs w:val="21"/>
                <w:shd w:val="clear" w:fill="FFFFFF"/>
              </w:rPr>
              <w:t>2140mg/kg(大鼠经口)；LC</w:t>
            </w:r>
            <w:r>
              <w:rPr>
                <w:rFonts w:hint="default" w:ascii="Times New Roman" w:hAnsi="Times New Roman" w:eastAsia="宋体" w:cs="Times New Roman"/>
                <w:b w:val="0"/>
                <w:bCs w:val="0"/>
                <w:i w:val="0"/>
                <w:iCs w:val="0"/>
                <w:caps w:val="0"/>
                <w:color w:val="auto"/>
                <w:spacing w:val="0"/>
                <w:sz w:val="21"/>
                <w:szCs w:val="21"/>
                <w:shd w:val="clear" w:fill="FFFFFF"/>
                <w:vertAlign w:val="subscript"/>
              </w:rPr>
              <w:t>50</w:t>
            </w:r>
            <w:r>
              <w:rPr>
                <w:rFonts w:hint="default" w:ascii="Times New Roman" w:hAnsi="Times New Roman" w:eastAsia="宋体" w:cs="Times New Roman"/>
                <w:b w:val="0"/>
                <w:bCs w:val="0"/>
                <w:i w:val="0"/>
                <w:iCs w:val="0"/>
                <w:caps w:val="0"/>
                <w:color w:val="auto"/>
                <w:spacing w:val="0"/>
                <w:sz w:val="21"/>
                <w:szCs w:val="21"/>
                <w:shd w:val="clear" w:fill="FFFFFF"/>
              </w:rPr>
              <w:t>510mg/m³，2小时(大鼠吸入)；320mg/m³，2小时(小鼠吸入)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0" w:hRule="atLeast"/>
          <w:jc w:val="center"/>
        </w:trPr>
        <w:tc>
          <w:tcPr>
            <w:tcW w:w="216" w:type="pct"/>
            <w:vAlign w:val="center"/>
          </w:tcPr>
          <w:p>
            <w:pPr>
              <w:keepNext w:val="0"/>
              <w:keepLines w:val="0"/>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cs="Times New Roman"/>
                <w:i w:val="0"/>
                <w:iCs w:val="0"/>
                <w:sz w:val="21"/>
                <w:szCs w:val="21"/>
                <w:u w:val="none"/>
                <w:lang w:val="en-US" w:eastAsia="zh-CN" w:bidi="ar-SA"/>
              </w:rPr>
            </w:pPr>
            <w:r>
              <w:rPr>
                <w:rFonts w:hint="eastAsia" w:ascii="Times New Roman" w:hAnsi="Times New Roman" w:cs="Times New Roman"/>
                <w:i w:val="0"/>
                <w:iCs w:val="0"/>
                <w:sz w:val="21"/>
                <w:szCs w:val="21"/>
                <w:u w:val="none"/>
                <w:lang w:val="en-US" w:eastAsia="zh-CN" w:bidi="ar-SA"/>
              </w:rPr>
              <w:t>14</w:t>
            </w:r>
          </w:p>
        </w:tc>
        <w:tc>
          <w:tcPr>
            <w:tcW w:w="37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1"/>
                <w:sz w:val="21"/>
                <w:szCs w:val="21"/>
                <w:highlight w:val="none"/>
                <w:lang w:val="en-US" w:eastAsia="zh-CN" w:bidi="ar-SA"/>
              </w:rPr>
            </w:pPr>
            <w:r>
              <w:rPr>
                <w:rFonts w:hint="eastAsia" w:ascii="Times New Roman" w:hAnsi="Times New Roman" w:cs="Times New Roman"/>
                <w:kern w:val="1"/>
                <w:sz w:val="21"/>
                <w:szCs w:val="21"/>
                <w:highlight w:val="none"/>
                <w:lang w:val="en-US" w:eastAsia="zh-CN"/>
              </w:rPr>
              <w:t>氟利昂（R22）</w:t>
            </w:r>
          </w:p>
        </w:tc>
        <w:tc>
          <w:tcPr>
            <w:tcW w:w="2057"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lang w:val="en-US" w:eastAsia="zh-CN"/>
              </w:rPr>
              <w:t>密度</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1.3±0.1 g/cm</w:t>
            </w:r>
            <w:r>
              <w:rPr>
                <w:rFonts w:hint="eastAsia" w:ascii="Times New Roman" w:hAnsi="Times New Roman" w:eastAsia="宋体" w:cs="Times New Roman"/>
                <w:b w:val="0"/>
                <w:bCs w:val="0"/>
                <w:kern w:val="0"/>
                <w:sz w:val="21"/>
                <w:szCs w:val="21"/>
                <w:vertAlign w:val="superscript"/>
                <w:lang w:val="en-US" w:eastAsia="zh-CN"/>
              </w:rPr>
              <w:t>3</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沸点</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-38.1±8.0°C at 760 mmHg</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熔点</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-146°C</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闪点</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-89.4±11.9 °C</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精确质量</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85.973480</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LogP</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0.98</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外观性状</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无色气体</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蒸汽压</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6292.3±0.0 mmHg at 25°C</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折射率</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1.278</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储存条件</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val="en-US" w:eastAsia="zh-CN"/>
              </w:rPr>
              <w:t>储存注意事项 储存于阴凉、通风的不燃气体专用库房。远离火种、热源。库温不宜超过30℃。应与易（可）燃物、氧化剂分开存放，切忌混储。储区应备有泄漏应急处理设备。</w:t>
            </w:r>
          </w:p>
        </w:tc>
        <w:tc>
          <w:tcPr>
            <w:tcW w:w="2351" w:type="pct"/>
            <w:vAlign w:val="center"/>
          </w:tcPr>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eastAsia" w:ascii="Times New Roman" w:hAnsi="Times New Roman" w:eastAsia="宋体" w:cs="Times New Roman"/>
                <w:b w:val="0"/>
                <w:bCs w:val="0"/>
                <w:kern w:val="0"/>
                <w:sz w:val="21"/>
                <w:szCs w:val="21"/>
                <w:lang w:eastAsia="zh-CN"/>
              </w:rPr>
              <w:t>1.急性毒性</w:t>
            </w:r>
            <w:r>
              <w:rPr>
                <w:rFonts w:hint="eastAsia" w:ascii="Times New Roman" w:hAnsi="Times New Roman" w:cs="Times New Roman"/>
                <w:b w:val="0"/>
                <w:bCs w:val="0"/>
                <w:kern w:val="0"/>
                <w:sz w:val="21"/>
                <w:szCs w:val="21"/>
                <w:lang w:val="en-US" w:eastAsia="zh-CN"/>
              </w:rPr>
              <w:t>：</w:t>
            </w:r>
            <w:r>
              <w:rPr>
                <w:rFonts w:hint="eastAsia" w:ascii="Times New Roman" w:hAnsi="Times New Roman" w:eastAsia="宋体" w:cs="Times New Roman"/>
                <w:b w:val="0"/>
                <w:bCs w:val="0"/>
                <w:kern w:val="0"/>
                <w:sz w:val="21"/>
                <w:szCs w:val="21"/>
                <w:lang w:eastAsia="zh-CN"/>
              </w:rPr>
              <w:t>LC</w:t>
            </w:r>
            <w:r>
              <w:rPr>
                <w:rFonts w:hint="eastAsia" w:ascii="Times New Roman" w:hAnsi="Times New Roman" w:eastAsia="宋体" w:cs="Times New Roman"/>
                <w:b w:val="0"/>
                <w:bCs w:val="0"/>
                <w:kern w:val="0"/>
                <w:sz w:val="21"/>
                <w:szCs w:val="21"/>
                <w:vertAlign w:val="subscript"/>
                <w:lang w:eastAsia="zh-CN"/>
              </w:rPr>
              <w:t>50</w:t>
            </w:r>
            <w:r>
              <w:rPr>
                <w:rFonts w:hint="eastAsia" w:ascii="Times New Roman" w:hAnsi="Times New Roman" w:eastAsia="宋体" w:cs="Times New Roman"/>
                <w:b w:val="0"/>
                <w:bCs w:val="0"/>
                <w:kern w:val="0"/>
                <w:sz w:val="21"/>
                <w:szCs w:val="21"/>
                <w:lang w:eastAsia="zh-CN"/>
              </w:rPr>
              <w:t>：35%（大鼠吸入，15min）</w:t>
            </w:r>
            <w:r>
              <w:rPr>
                <w:rFonts w:hint="eastAsia" w:ascii="Times New Roman" w:hAnsi="Times New Roman" w:cs="Times New Roman"/>
                <w:b w:val="0"/>
                <w:bCs w:val="0"/>
                <w:kern w:val="0"/>
                <w:sz w:val="21"/>
                <w:szCs w:val="21"/>
                <w:lang w:eastAsia="zh-CN"/>
              </w:rPr>
              <w:t>；</w:t>
            </w:r>
          </w:p>
          <w:p>
            <w:pPr>
              <w:keepNext w:val="0"/>
              <w:keepLines w:val="0"/>
              <w:pageBreakBefore w:val="0"/>
              <w:widowControl/>
              <w:kinsoku/>
              <w:wordWrap/>
              <w:overflowPunct/>
              <w:topLinePunct w:val="0"/>
              <w:autoSpaceDE/>
              <w:autoSpaceDN w:val="0"/>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val="0"/>
                <w:kern w:val="0"/>
                <w:sz w:val="21"/>
                <w:szCs w:val="21"/>
                <w:lang w:eastAsia="zh-CN"/>
              </w:rPr>
            </w:pPr>
            <w:r>
              <w:rPr>
                <w:rFonts w:hint="eastAsia" w:ascii="Times New Roman" w:hAnsi="Times New Roman" w:cs="Times New Roman"/>
                <w:b w:val="0"/>
                <w:bCs w:val="0"/>
                <w:kern w:val="0"/>
                <w:sz w:val="21"/>
                <w:szCs w:val="21"/>
                <w:lang w:val="en-US" w:eastAsia="zh-CN"/>
              </w:rPr>
              <w:t>2</w:t>
            </w:r>
            <w:r>
              <w:rPr>
                <w:rFonts w:hint="eastAsia" w:ascii="Times New Roman" w:hAnsi="Times New Roman" w:eastAsia="宋体" w:cs="Times New Roman"/>
                <w:b w:val="0"/>
                <w:bCs w:val="0"/>
                <w:kern w:val="0"/>
                <w:sz w:val="21"/>
                <w:szCs w:val="21"/>
                <w:lang w:eastAsia="zh-CN"/>
              </w:rPr>
              <w:t>.亚急性与慢性毒性 兔、大鼠、小鼠吸入0.2%浓度，每天6h，共10个月，均无毒性反应；1.4%浓度，体重减轻，血清蛋白降低，球蛋白升高。剖检肺见肺泡间质增厚、肺水肿，心、肝、肾及神经系统退行性变</w:t>
            </w:r>
            <w:r>
              <w:rPr>
                <w:rFonts w:hint="eastAsia" w:ascii="Times New Roman" w:hAnsi="Times New Roman" w:cs="Times New Roman"/>
                <w:b w:val="0"/>
                <w:bCs w:val="0"/>
                <w:kern w:val="0"/>
                <w:sz w:val="21"/>
                <w:szCs w:val="21"/>
                <w:lang w:eastAsia="zh-CN"/>
              </w:rPr>
              <w:t>；</w:t>
            </w:r>
            <w:r>
              <w:rPr>
                <w:rFonts w:hint="eastAsia" w:ascii="Times New Roman" w:hAnsi="Times New Roman" w:cs="Times New Roman"/>
                <w:b w:val="0"/>
                <w:bCs w:val="0"/>
                <w:kern w:val="0"/>
                <w:sz w:val="21"/>
                <w:szCs w:val="21"/>
                <w:lang w:val="en-US" w:eastAsia="zh-CN"/>
              </w:rPr>
              <w:t>3</w:t>
            </w:r>
            <w:r>
              <w:rPr>
                <w:rFonts w:hint="eastAsia" w:ascii="Times New Roman" w:hAnsi="Times New Roman" w:eastAsia="宋体" w:cs="Times New Roman"/>
                <w:b w:val="0"/>
                <w:bCs w:val="0"/>
                <w:kern w:val="0"/>
                <w:sz w:val="21"/>
                <w:szCs w:val="21"/>
                <w:lang w:eastAsia="zh-CN"/>
              </w:rPr>
              <w:t>.致突变性 微生物致突变：鼠伤寒沙门菌33%（连续，24h）。微粒体诱变：鼠伤寒沙门菌33%（连续，24h）</w:t>
            </w:r>
            <w:r>
              <w:rPr>
                <w:rFonts w:hint="eastAsia" w:ascii="Times New Roman" w:hAnsi="Times New Roman" w:cs="Times New Roman"/>
                <w:b w:val="0"/>
                <w:bCs w:val="0"/>
                <w:kern w:val="0"/>
                <w:sz w:val="21"/>
                <w:szCs w:val="21"/>
                <w:lang w:eastAsia="zh-CN"/>
              </w:rPr>
              <w:t>；</w:t>
            </w:r>
            <w:r>
              <w:rPr>
                <w:rFonts w:hint="eastAsia" w:ascii="Times New Roman" w:hAnsi="Times New Roman" w:cs="Times New Roman"/>
                <w:b w:val="0"/>
                <w:bCs w:val="0"/>
                <w:kern w:val="0"/>
                <w:sz w:val="21"/>
                <w:szCs w:val="21"/>
                <w:lang w:val="en-US" w:eastAsia="zh-CN"/>
              </w:rPr>
              <w:t>4</w:t>
            </w:r>
            <w:r>
              <w:rPr>
                <w:rFonts w:hint="eastAsia" w:ascii="Times New Roman" w:hAnsi="Times New Roman" w:eastAsia="宋体" w:cs="Times New Roman"/>
                <w:b w:val="0"/>
                <w:bCs w:val="0"/>
                <w:kern w:val="0"/>
                <w:sz w:val="21"/>
                <w:szCs w:val="21"/>
                <w:lang w:eastAsia="zh-CN"/>
              </w:rPr>
              <w:t>.致畸性 大鼠孕后6~15d吸入最低中毒剂量（TCLo）5ppm，致眼耳发育畸形。微生物致突变：鼠伤寒沙门菌33%（24h）</w:t>
            </w:r>
          </w:p>
        </w:tc>
      </w:tr>
    </w:tbl>
    <w:p>
      <w:pPr>
        <w:spacing w:line="240" w:lineRule="auto"/>
        <w:ind w:firstLine="0" w:firstLineChars="0"/>
        <w:jc w:val="center"/>
        <w:rPr>
          <w:rFonts w:hint="default" w:ascii="Times New Roman" w:hAnsi="Times New Roman" w:cs="Times New Roman"/>
          <w:sz w:val="21"/>
          <w:szCs w:val="21"/>
          <w:lang w:val="en-US" w:eastAsia="zh-CN"/>
        </w:rPr>
      </w:pPr>
    </w:p>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lang w:val="en-US" w:eastAsia="zh-CN"/>
        </w:rPr>
      </w:pPr>
      <w:bookmarkStart w:id="52" w:name="_Toc26810"/>
      <w:r>
        <w:rPr>
          <w:rFonts w:hint="default" w:ascii="Times New Roman" w:hAnsi="Times New Roman" w:cs="Times New Roman"/>
          <w:sz w:val="30"/>
          <w:szCs w:val="30"/>
          <w:highlight w:val="none"/>
        </w:rPr>
        <w:t>2.</w:t>
      </w:r>
      <w:r>
        <w:rPr>
          <w:rFonts w:hint="default" w:ascii="Times New Roman" w:hAnsi="Times New Roman" w:cs="Times New Roman"/>
          <w:sz w:val="30"/>
          <w:szCs w:val="30"/>
          <w:highlight w:val="none"/>
          <w:lang w:val="en-US" w:eastAsia="zh-CN"/>
        </w:rPr>
        <w:t>6 污染防治措施</w:t>
      </w:r>
      <w:bookmarkEnd w:id="52"/>
    </w:p>
    <w:p>
      <w:pPr>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项目污染防治措施情况见表2-</w:t>
      </w:r>
      <w:r>
        <w:rPr>
          <w:rFonts w:hint="eastAsia" w:ascii="Times New Roman" w:hAnsi="Times New Roman" w:cs="Times New Roman"/>
          <w:sz w:val="28"/>
          <w:szCs w:val="28"/>
          <w:highlight w:val="none"/>
          <w:lang w:val="en-US" w:eastAsia="zh-CN"/>
        </w:rPr>
        <w:t>12</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jc w:val="center"/>
        <w:textAlignment w:val="auto"/>
        <w:rPr>
          <w:rFonts w:hint="default" w:ascii="Times New Roman" w:hAnsi="Times New Roman" w:cs="Times New Roman"/>
          <w:b/>
          <w:sz w:val="24"/>
          <w:highlight w:val="none"/>
          <w:lang w:val="en-US" w:eastAsia="zh-CN"/>
        </w:rPr>
      </w:pPr>
      <w:r>
        <w:rPr>
          <w:rFonts w:hint="default" w:ascii="Times New Roman" w:hAnsi="Times New Roman" w:cs="Times New Roman"/>
          <w:b/>
          <w:sz w:val="24"/>
          <w:highlight w:val="none"/>
        </w:rPr>
        <w:t>表</w:t>
      </w:r>
      <w:r>
        <w:rPr>
          <w:rFonts w:hint="default" w:ascii="Times New Roman" w:hAnsi="Times New Roman" w:cs="Times New Roman"/>
          <w:b/>
          <w:sz w:val="24"/>
          <w:highlight w:val="none"/>
          <w:lang w:val="en-US" w:eastAsia="zh-CN"/>
        </w:rPr>
        <w:t>2-</w:t>
      </w:r>
      <w:r>
        <w:rPr>
          <w:rFonts w:hint="eastAsia" w:ascii="Times New Roman" w:hAnsi="Times New Roman" w:cs="Times New Roman"/>
          <w:b/>
          <w:sz w:val="24"/>
          <w:highlight w:val="none"/>
          <w:lang w:val="en-US" w:eastAsia="zh-CN"/>
        </w:rPr>
        <w:t>12</w:t>
      </w:r>
      <w:r>
        <w:rPr>
          <w:rFonts w:hint="default" w:ascii="Times New Roman" w:hAnsi="Times New Roman" w:cs="Times New Roman"/>
          <w:b/>
          <w:sz w:val="24"/>
          <w:highlight w:val="none"/>
        </w:rPr>
        <w:tab/>
      </w:r>
      <w:r>
        <w:rPr>
          <w:rFonts w:hint="eastAsia" w:ascii="Times New Roman" w:hAnsi="Times New Roman" w:cs="Times New Roman"/>
          <w:b/>
          <w:sz w:val="24"/>
          <w:highlight w:val="none"/>
          <w:lang w:val="en-US" w:eastAsia="zh-CN"/>
        </w:rPr>
        <w:t>安阳九久化学科技有限公司</w:t>
      </w:r>
      <w:r>
        <w:rPr>
          <w:rFonts w:hint="default" w:ascii="Times New Roman" w:hAnsi="Times New Roman" w:cs="Times New Roman"/>
          <w:b/>
          <w:sz w:val="24"/>
          <w:highlight w:val="none"/>
        </w:rPr>
        <w:t>污染防治措施一览</w:t>
      </w:r>
      <w:r>
        <w:rPr>
          <w:rFonts w:hint="default" w:ascii="Times New Roman" w:hAnsi="Times New Roman" w:cs="Times New Roman"/>
          <w:b/>
          <w:sz w:val="24"/>
          <w:highlight w:val="none"/>
          <w:lang w:val="en-US" w:eastAsia="zh-CN"/>
        </w:rPr>
        <w:t>表</w:t>
      </w:r>
    </w:p>
    <w:tbl>
      <w:tblPr>
        <w:tblStyle w:val="21"/>
        <w:tblW w:w="92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7"/>
        <w:gridCol w:w="952"/>
        <w:gridCol w:w="1771"/>
        <w:gridCol w:w="1260"/>
        <w:gridCol w:w="1785"/>
        <w:gridCol w:w="1534"/>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260" w:type="dxa"/>
            <w:gridSpan w:val="3"/>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项 目</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治理措施</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设施或设备数量</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规格或型号</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废气</w:t>
            </w:r>
          </w:p>
        </w:tc>
        <w:tc>
          <w:tcPr>
            <w:tcW w:w="952"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装置</w:t>
            </w: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焦亚硫酸钠合成尾气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二级碱吸收后排放。</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一级尾气洗涤塔1台、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级尾气洗涤塔1台</w:t>
            </w:r>
          </w:p>
        </w:tc>
        <w:tc>
          <w:tcPr>
            <w:tcW w:w="15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内径：2000mm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长高：7500mm</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内径：2000mm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长高：7500mm</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default" w:ascii="Times New Roman" w:hAnsi="Times New Roman" w:eastAsia="宋体" w:cs="Times New Roman"/>
                <w:snapToGrid w:val="0"/>
                <w:color w:val="00000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焦亚硫酸钠干燥尾气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二级碱吸收后排放。</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一级干燥洗涤塔1台、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级干燥洗涤塔1台</w:t>
            </w:r>
          </w:p>
        </w:tc>
        <w:tc>
          <w:tcPr>
            <w:tcW w:w="1534" w:type="dxa"/>
            <w:noWrap w:val="0"/>
            <w:vAlign w:val="center"/>
          </w:tcPr>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内径：2400mm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长高：8040mm</w:t>
            </w:r>
          </w:p>
          <w:p>
            <w:pPr>
              <w:keepNext w:val="0"/>
              <w:keepLines w:val="0"/>
              <w:pageBreakBefore w:val="0"/>
              <w:widowControl w:val="0"/>
              <w:kinsoku/>
              <w:wordWrap/>
              <w:overflowPunct/>
              <w:topLinePunct w:val="0"/>
              <w:bidi w:val="0"/>
              <w:adjustRightInd/>
              <w:snapToGrid/>
              <w:spacing w:line="240" w:lineRule="auto"/>
              <w:ind w:left="0" w:leftChars="0"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内径：2400mm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长高：8800mm</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default" w:ascii="Times New Roman" w:hAnsi="Times New Roman" w:eastAsia="宋体" w:cs="Times New Roman"/>
                <w:snapToGrid w:val="0"/>
                <w:color w:val="00000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焦亚包装废气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布袋除尘</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袋式除尘器1台</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bCs/>
                <w:kern w:val="2"/>
                <w:sz w:val="21"/>
                <w:szCs w:val="21"/>
              </w:rPr>
              <w:t>风量2000m</w:t>
            </w:r>
            <w:r>
              <w:rPr>
                <w:rFonts w:hint="default" w:ascii="Times New Roman" w:hAnsi="Times New Roman" w:eastAsia="宋体" w:cs="Times New Roman"/>
                <w:bCs/>
                <w:kern w:val="2"/>
                <w:sz w:val="21"/>
                <w:szCs w:val="21"/>
                <w:vertAlign w:val="superscript"/>
              </w:rPr>
              <w:t>3</w:t>
            </w:r>
            <w:r>
              <w:rPr>
                <w:rFonts w:hint="default" w:ascii="Times New Roman" w:hAnsi="Times New Roman" w:eastAsia="宋体" w:cs="Times New Roman"/>
                <w:bCs/>
                <w:kern w:val="2"/>
                <w:sz w:val="21"/>
                <w:szCs w:val="21"/>
              </w:rPr>
              <w:t>/h</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default" w:ascii="Times New Roman" w:hAnsi="Times New Roman" w:eastAsia="宋体" w:cs="Times New Roman"/>
                <w:snapToGrid w:val="0"/>
                <w:color w:val="00000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保险粉合成尾气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冷甲醇吸收+二级碱吸收</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合成尾气甲醇吸收塔2台、一级合成尾气碱水吸收塔2台、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级合成尾气碱水吸收塔2台</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DN1800×7200、</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DN1800×7200、</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DN1800×7200</w:t>
            </w:r>
          </w:p>
        </w:tc>
        <w:tc>
          <w:tcPr>
            <w:tcW w:w="1406"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部分汇集于气柜回用，余去安化锅炉焚烧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压缩输送物料尾气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二级碱吸收</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一级尾气碱水吸收塔2台、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级尾气碱水吸收塔2台</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DN1800×7200、</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DN1800×7200</w:t>
            </w:r>
          </w:p>
        </w:tc>
        <w:tc>
          <w:tcPr>
            <w:tcW w:w="1406"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保险粉包装废气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布袋除尘</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袋式除尘器2台</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bCs/>
                <w:kern w:val="2"/>
                <w:sz w:val="21"/>
                <w:szCs w:val="21"/>
              </w:rPr>
              <w:t>风量2000m</w:t>
            </w:r>
            <w:r>
              <w:rPr>
                <w:rFonts w:hint="default" w:ascii="Times New Roman" w:hAnsi="Times New Roman" w:eastAsia="宋体" w:cs="Times New Roman"/>
                <w:bCs/>
                <w:kern w:val="2"/>
                <w:sz w:val="21"/>
                <w:szCs w:val="21"/>
                <w:vertAlign w:val="superscript"/>
              </w:rPr>
              <w:t>3</w:t>
            </w:r>
            <w:r>
              <w:rPr>
                <w:rFonts w:hint="default" w:ascii="Times New Roman" w:hAnsi="Times New Roman" w:eastAsia="宋体" w:cs="Times New Roman"/>
                <w:bCs/>
                <w:kern w:val="2"/>
                <w:sz w:val="21"/>
                <w:szCs w:val="21"/>
              </w:rPr>
              <w:t>/h</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lang w:val="en-US" w:eastAsia="zh-CN"/>
              </w:rPr>
            </w:pPr>
            <w:r>
              <w:rPr>
                <w:rFonts w:hint="default" w:ascii="Times New Roman" w:hAnsi="Times New Roman" w:eastAsia="宋体" w:cs="Times New Roman"/>
                <w:snapToGrid w:val="0"/>
                <w:color w:val="FF000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排放气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去安化锅炉焚烧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保险粉、亚硫酸钠、回收甲酸钠真空干燥及精馏残液的真空尾气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2"/>
                <w:sz w:val="21"/>
                <w:szCs w:val="21"/>
              </w:rPr>
              <w:t>二级碱吸收</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一级真空尾气碱水吸收塔2台、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级真空尾气碱水吸收塔2台</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DN1800×7200</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DN1800×7200</w:t>
            </w:r>
          </w:p>
        </w:tc>
        <w:tc>
          <w:tcPr>
            <w:tcW w:w="1406"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2"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排放气和经处理的保险粉、亚硫酸钠、回收甲酸钠真空干燥及精馏残液的真空尾气</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去安化锅炉焚烧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u w:val="none"/>
              </w:rPr>
            </w:pPr>
            <w:r>
              <w:rPr>
                <w:rFonts w:hint="default" w:ascii="Times New Roman" w:hAnsi="Times New Roman" w:eastAsia="宋体" w:cs="Times New Roman"/>
                <w:snapToGrid w:val="0"/>
                <w:color w:val="000000"/>
                <w:kern w:val="2"/>
                <w:sz w:val="21"/>
                <w:szCs w:val="21"/>
                <w:u w:val="none"/>
              </w:rPr>
              <w:t>污水站及事故池</w:t>
            </w:r>
          </w:p>
        </w:tc>
        <w:tc>
          <w:tcPr>
            <w:tcW w:w="6350" w:type="dxa"/>
            <w:gridSpan w:val="4"/>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u w:val="none"/>
              </w:rPr>
            </w:pPr>
            <w:r>
              <w:rPr>
                <w:rFonts w:hint="default" w:ascii="Times New Roman" w:hAnsi="Times New Roman" w:eastAsia="宋体" w:cs="Times New Roman"/>
                <w:bCs/>
                <w:kern w:val="2"/>
                <w:sz w:val="21"/>
                <w:szCs w:val="21"/>
                <w:u w:val="none"/>
              </w:rPr>
              <w:t>生产废水调节池、芬顿氧化池、中和反应池、水解酸化池、脱硫沉降池、缓冲调节池、一级AO池、二级AO池等加玻璃钢顶棚封闭、事故池加盖封闭后，经引风汇入保险粉合成尾气等混合废气总管道</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u w:val="none"/>
              </w:rPr>
            </w:pPr>
            <w:r>
              <w:rPr>
                <w:rFonts w:hint="default" w:ascii="Times New Roman" w:hAnsi="Times New Roman" w:eastAsia="宋体" w:cs="Times New Roman"/>
                <w:snapToGrid w:val="0"/>
                <w:color w:val="000000"/>
                <w:kern w:val="2"/>
                <w:sz w:val="21"/>
                <w:szCs w:val="21"/>
                <w:u w:val="none"/>
              </w:rPr>
              <w:t>去安化锅炉焚烧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废水</w:t>
            </w:r>
          </w:p>
        </w:tc>
        <w:tc>
          <w:tcPr>
            <w:tcW w:w="952"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装置</w:t>
            </w: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焦亚硫酸钠合成尾气吸收水</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回用配制碳酸钠钠溶液</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焦亚硫酸钠干燥尾气吸收水</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回用配制碳酸钠钠溶液</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回收甲醇残液蒸发冷凝</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部分回用配制氢氧化钠溶液，余去项目污水处理站</w:t>
            </w:r>
          </w:p>
        </w:tc>
        <w:tc>
          <w:tcPr>
            <w:tcW w:w="1785"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氧化+微电解+混凝沉淀+脱硫+生化处理</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高级氧化池 1座</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微电解装置 1套</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中和混凝反应池1座</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rPr>
              <w:t>水解酸化池</w:t>
            </w:r>
            <w:r>
              <w:rPr>
                <w:rFonts w:hint="default" w:ascii="Times New Roman" w:hAnsi="Times New Roman" w:eastAsia="宋体" w:cs="Times New Roman"/>
                <w:color w:val="000000"/>
                <w:kern w:val="2"/>
                <w:sz w:val="21"/>
                <w:szCs w:val="21"/>
              </w:rPr>
              <w:t>1座</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rPr>
              <w:t xml:space="preserve">水解脱硫反应沉降池  </w:t>
            </w:r>
            <w:r>
              <w:rPr>
                <w:rFonts w:hint="default" w:ascii="Times New Roman" w:hAnsi="Times New Roman" w:eastAsia="宋体" w:cs="Times New Roman"/>
                <w:color w:val="000000"/>
                <w:kern w:val="2"/>
                <w:sz w:val="21"/>
                <w:szCs w:val="21"/>
              </w:rPr>
              <w:t>1座</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rPr>
              <w:t>一级</w:t>
            </w:r>
            <w:r>
              <w:rPr>
                <w:rFonts w:hint="default" w:ascii="Times New Roman" w:hAnsi="Times New Roman" w:eastAsia="宋体" w:cs="Times New Roman"/>
                <w:kern w:val="2"/>
                <w:sz w:val="21"/>
                <w:szCs w:val="21"/>
              </w:rPr>
              <w:t>UASB反应器</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1座</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rPr>
              <w:t>二级</w:t>
            </w:r>
            <w:r>
              <w:rPr>
                <w:rFonts w:hint="default" w:ascii="Times New Roman" w:hAnsi="Times New Roman" w:eastAsia="宋体" w:cs="Times New Roman"/>
                <w:kern w:val="2"/>
                <w:sz w:val="21"/>
                <w:szCs w:val="21"/>
              </w:rPr>
              <w:t>UASB反应器</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1座</w:t>
            </w:r>
          </w:p>
        </w:tc>
        <w:tc>
          <w:tcPr>
            <w:tcW w:w="1534"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8×4×3m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Ф3.2×7m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1×5×5m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2-5×8×5m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5×7×5m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Ф10×12</w:t>
            </w:r>
            <w:r>
              <w:rPr>
                <w:rFonts w:hint="default" w:ascii="Times New Roman" w:hAnsi="Times New Roman" w:eastAsia="宋体" w:cs="Times New Roman"/>
                <w:color w:val="000000"/>
                <w:kern w:val="2"/>
                <w:sz w:val="21"/>
                <w:szCs w:val="21"/>
              </w:rPr>
              <w:t>m</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kern w:val="2"/>
                <w:sz w:val="21"/>
                <w:szCs w:val="21"/>
              </w:rPr>
            </w:pP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Ф10×10</w:t>
            </w:r>
            <w:r>
              <w:rPr>
                <w:rFonts w:hint="default" w:ascii="Times New Roman" w:hAnsi="Times New Roman" w:eastAsia="宋体" w:cs="Times New Roman"/>
                <w:color w:val="000000"/>
                <w:kern w:val="2"/>
                <w:sz w:val="21"/>
                <w:szCs w:val="21"/>
              </w:rPr>
              <w:t>m</w:t>
            </w:r>
          </w:p>
        </w:tc>
        <w:tc>
          <w:tcPr>
            <w:tcW w:w="1406"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经项目污水处理站处理后，排放至安化污水处理终端进一步处理，达标排放。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8"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回用压缩气冷</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干液</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去项目污水处理站。</w:t>
            </w:r>
          </w:p>
        </w:tc>
        <w:tc>
          <w:tcPr>
            <w:tcW w:w="1785"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534"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406"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合成尾气碱吸收液</w:t>
            </w:r>
          </w:p>
        </w:tc>
        <w:tc>
          <w:tcPr>
            <w:tcW w:w="1260"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返回中和，回收亚硫酸钠、</w:t>
            </w:r>
            <w:r>
              <w:rPr>
                <w:rFonts w:hint="default" w:ascii="Times New Roman" w:hAnsi="Times New Roman" w:eastAsia="宋体" w:cs="Times New Roman"/>
                <w:snapToGrid w:val="0"/>
                <w:color w:val="000000"/>
                <w:kern w:val="0"/>
                <w:sz w:val="21"/>
                <w:szCs w:val="21"/>
                <w:lang w:val="zh-CN"/>
              </w:rPr>
              <w:t>甲酸钠、甲醇</w:t>
            </w:r>
            <w:r>
              <w:rPr>
                <w:rFonts w:hint="default" w:ascii="Times New Roman" w:hAnsi="Times New Roman" w:eastAsia="宋体" w:cs="Times New Roman"/>
                <w:snapToGrid w:val="0"/>
                <w:color w:val="000000"/>
                <w:kern w:val="2"/>
                <w:sz w:val="21"/>
                <w:szCs w:val="21"/>
              </w:rPr>
              <w:t>。</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压缩输送物料碱吸收液</w:t>
            </w:r>
          </w:p>
        </w:tc>
        <w:tc>
          <w:tcPr>
            <w:tcW w:w="1260"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85"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真空干燥尾气碱吸收液</w:t>
            </w:r>
          </w:p>
        </w:tc>
        <w:tc>
          <w:tcPr>
            <w:tcW w:w="1260"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85"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trPr>
        <w:tc>
          <w:tcPr>
            <w:tcW w:w="537"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固废</w:t>
            </w:r>
          </w:p>
        </w:tc>
        <w:tc>
          <w:tcPr>
            <w:tcW w:w="952"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液体二氧化硫生产装置</w:t>
            </w: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3</w:t>
            </w:r>
            <w:r>
              <w:rPr>
                <w:rFonts w:hint="default" w:ascii="Times New Roman" w:hAnsi="Times New Roman" w:eastAsia="宋体" w:cs="Times New Roman"/>
                <w:snapToGrid w:val="0"/>
                <w:color w:val="000000"/>
                <w:kern w:val="2"/>
                <w:sz w:val="21"/>
                <w:szCs w:val="21"/>
              </w:rPr>
              <w:t>发生S1</w:t>
            </w:r>
          </w:p>
        </w:tc>
        <w:tc>
          <w:tcPr>
            <w:tcW w:w="1260" w:type="dxa"/>
            <w:vMerge w:val="restart"/>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暂存后送具有危废处理资质的单位处理。</w:t>
            </w:r>
          </w:p>
        </w:tc>
        <w:tc>
          <w:tcPr>
            <w:tcW w:w="1785" w:type="dxa"/>
            <w:vMerge w:val="restart"/>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全封闭的危废暂存间1座</w:t>
            </w:r>
          </w:p>
        </w:tc>
        <w:tc>
          <w:tcPr>
            <w:tcW w:w="1534"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2"/>
                <w:sz w:val="21"/>
                <w:szCs w:val="21"/>
              </w:rPr>
            </w:pPr>
            <w:r>
              <w:rPr>
                <w:rFonts w:hint="default" w:ascii="Times New Roman" w:hAnsi="Times New Roman" w:eastAsia="宋体" w:cs="Times New Roman"/>
                <w:snapToGrid w:val="0"/>
                <w:color w:val="auto"/>
                <w:kern w:val="2"/>
                <w:sz w:val="21"/>
                <w:szCs w:val="21"/>
              </w:rPr>
              <w:t>20m</w:t>
            </w:r>
            <w:r>
              <w:rPr>
                <w:rFonts w:hint="default" w:ascii="Times New Roman" w:hAnsi="Times New Roman" w:eastAsia="宋体" w:cs="Times New Roman"/>
                <w:snapToGrid w:val="0"/>
                <w:color w:val="auto"/>
                <w:kern w:val="2"/>
                <w:sz w:val="21"/>
                <w:szCs w:val="21"/>
                <w:vertAlign w:val="superscript"/>
              </w:rPr>
              <w:t>2</w:t>
            </w:r>
          </w:p>
        </w:tc>
        <w:tc>
          <w:tcPr>
            <w:tcW w:w="1406" w:type="dxa"/>
            <w:vMerge w:val="restart"/>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snapToGrid w:val="0"/>
                <w:color w:val="auto"/>
                <w:kern w:val="2"/>
                <w:sz w:val="21"/>
                <w:szCs w:val="21"/>
                <w:lang w:val="en-US" w:eastAsia="zh-CN"/>
              </w:rPr>
            </w:pPr>
            <w:r>
              <w:rPr>
                <w:rFonts w:hint="eastAsia" w:ascii="Times New Roman" w:hAnsi="Times New Roman" w:cs="Times New Roman"/>
                <w:snapToGrid w:val="0"/>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4"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w:t>
            </w:r>
          </w:p>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装置</w:t>
            </w: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3</w:t>
            </w:r>
            <w:r>
              <w:rPr>
                <w:rFonts w:hint="default" w:ascii="Times New Roman" w:hAnsi="Times New Roman" w:eastAsia="宋体" w:cs="Times New Roman"/>
                <w:snapToGrid w:val="0"/>
                <w:color w:val="000000"/>
                <w:kern w:val="2"/>
                <w:sz w:val="21"/>
                <w:szCs w:val="21"/>
              </w:rPr>
              <w:t>发生S2</w:t>
            </w:r>
          </w:p>
        </w:tc>
        <w:tc>
          <w:tcPr>
            <w:tcW w:w="1260" w:type="dxa"/>
            <w:vMerge w:val="continue"/>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85" w:type="dxa"/>
            <w:vMerge w:val="continue"/>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534"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2"/>
                <w:sz w:val="21"/>
                <w:szCs w:val="21"/>
              </w:rPr>
            </w:pPr>
          </w:p>
        </w:tc>
        <w:tc>
          <w:tcPr>
            <w:tcW w:w="1406"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4" w:hRule="atLeast"/>
        </w:trPr>
        <w:tc>
          <w:tcPr>
            <w:tcW w:w="537"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1771"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蒸发残液S3</w:t>
            </w:r>
          </w:p>
        </w:tc>
        <w:tc>
          <w:tcPr>
            <w:tcW w:w="1260" w:type="dxa"/>
            <w:vMerge w:val="continue"/>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zh-CN"/>
              </w:rPr>
            </w:pPr>
          </w:p>
        </w:tc>
        <w:tc>
          <w:tcPr>
            <w:tcW w:w="1785" w:type="dxa"/>
            <w:vMerge w:val="continue"/>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534"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2"/>
                <w:sz w:val="21"/>
                <w:szCs w:val="21"/>
              </w:rPr>
            </w:pPr>
          </w:p>
        </w:tc>
        <w:tc>
          <w:tcPr>
            <w:tcW w:w="1406" w:type="dxa"/>
            <w:vMerge w:val="continue"/>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4" w:hRule="atLeast"/>
        </w:trPr>
        <w:tc>
          <w:tcPr>
            <w:tcW w:w="3260" w:type="dxa"/>
            <w:gridSpan w:val="3"/>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2"/>
                <w:sz w:val="21"/>
                <w:szCs w:val="21"/>
              </w:rPr>
            </w:pPr>
            <w:bookmarkStart w:id="53" w:name="_Toc23552"/>
            <w:r>
              <w:rPr>
                <w:rFonts w:hint="eastAsia" w:ascii="Times New Roman" w:hAnsi="Times New Roman" w:cs="Times New Roman"/>
                <w:snapToGrid w:val="0"/>
                <w:color w:val="000000"/>
                <w:kern w:val="2"/>
                <w:sz w:val="21"/>
                <w:szCs w:val="21"/>
                <w:lang w:val="en-US" w:eastAsia="zh-CN"/>
              </w:rPr>
              <w:t>噪声</w:t>
            </w:r>
          </w:p>
        </w:tc>
        <w:tc>
          <w:tcPr>
            <w:tcW w:w="1260"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hAnsi="Times New Roman" w:cs="Times New Roman"/>
                <w:snapToGrid w:val="0"/>
                <w:color w:val="000000"/>
                <w:kern w:val="2"/>
                <w:sz w:val="21"/>
                <w:szCs w:val="21"/>
                <w:lang w:val="en-US" w:eastAsia="zh-CN"/>
              </w:rPr>
              <w:t>专用机房、设置减震基础、吸声材料</w:t>
            </w:r>
          </w:p>
        </w:tc>
        <w:tc>
          <w:tcPr>
            <w:tcW w:w="1785" w:type="dxa"/>
            <w:noWrap w:val="0"/>
            <w:vAlign w:val="center"/>
          </w:tcPr>
          <w:p>
            <w:pPr>
              <w:keepNext w:val="0"/>
              <w:keepLines w:val="0"/>
              <w:pageBreakBefore w:val="0"/>
              <w:widowControl w:val="0"/>
              <w:tabs>
                <w:tab w:val="left" w:pos="1680"/>
                <w:tab w:val="left" w:pos="3465"/>
              </w:tabs>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w:t>
            </w:r>
          </w:p>
        </w:tc>
        <w:tc>
          <w:tcPr>
            <w:tcW w:w="1534"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snapToGrid w:val="0"/>
                <w:color w:val="auto"/>
                <w:kern w:val="2"/>
                <w:sz w:val="21"/>
                <w:szCs w:val="21"/>
                <w:lang w:val="en-US" w:eastAsia="zh-CN"/>
              </w:rPr>
            </w:pPr>
            <w:r>
              <w:rPr>
                <w:rFonts w:hint="eastAsia" w:ascii="Times New Roman" w:hAnsi="Times New Roman" w:cs="Times New Roman"/>
                <w:snapToGrid w:val="0"/>
                <w:color w:val="auto"/>
                <w:kern w:val="2"/>
                <w:sz w:val="21"/>
                <w:szCs w:val="21"/>
                <w:lang w:val="en-US" w:eastAsia="zh-CN"/>
              </w:rPr>
              <w:t>/</w:t>
            </w:r>
          </w:p>
        </w:tc>
        <w:tc>
          <w:tcPr>
            <w:tcW w:w="1406" w:type="dxa"/>
            <w:noWrap w:val="0"/>
            <w:vAlign w:val="center"/>
          </w:tcPr>
          <w:p>
            <w:pPr>
              <w:keepNext w:val="0"/>
              <w:keepLines w:val="0"/>
              <w:pageBreakBefore w:val="0"/>
              <w:widowControl w:val="0"/>
              <w:tabs>
                <w:tab w:val="left" w:pos="1680"/>
                <w:tab w:val="left" w:pos="3465"/>
              </w:tabs>
              <w:kinsoku/>
              <w:wordWrap/>
              <w:overflowPunct/>
              <w:topLinePunct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snapToGrid w:val="0"/>
                <w:color w:val="auto"/>
                <w:kern w:val="2"/>
                <w:sz w:val="21"/>
                <w:szCs w:val="21"/>
                <w:lang w:val="en-US" w:eastAsia="zh-CN"/>
              </w:rPr>
            </w:pPr>
            <w:r>
              <w:rPr>
                <w:rFonts w:hint="eastAsia" w:ascii="Times New Roman" w:hAnsi="Times New Roman" w:cs="Times New Roman"/>
                <w:snapToGrid w:val="0"/>
                <w:color w:val="auto"/>
                <w:kern w:val="2"/>
                <w:sz w:val="21"/>
                <w:szCs w:val="21"/>
                <w:lang w:val="en-US" w:eastAsia="zh-CN"/>
              </w:rPr>
              <w:t>/</w:t>
            </w:r>
          </w:p>
        </w:tc>
      </w:tr>
    </w:tbl>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lang w:val="en-US" w:eastAsia="zh-CN"/>
        </w:rPr>
      </w:pPr>
      <w:r>
        <w:rPr>
          <w:rFonts w:hint="default" w:ascii="Times New Roman" w:hAnsi="Times New Roman" w:cs="Times New Roman"/>
          <w:sz w:val="30"/>
          <w:szCs w:val="30"/>
          <w:highlight w:val="none"/>
        </w:rPr>
        <w:t>2.</w:t>
      </w:r>
      <w:r>
        <w:rPr>
          <w:rFonts w:hint="default" w:ascii="Times New Roman" w:hAnsi="Times New Roman" w:cs="Times New Roman"/>
          <w:sz w:val="30"/>
          <w:szCs w:val="30"/>
          <w:highlight w:val="none"/>
          <w:lang w:val="en-US" w:eastAsia="zh-CN"/>
        </w:rPr>
        <w:t>7 历史土壤和地下水环境监测信息</w:t>
      </w:r>
      <w:bookmarkEnd w:id="53"/>
    </w:p>
    <w:p>
      <w:pPr>
        <w:shd w:val="clear"/>
        <w:rPr>
          <w:rFonts w:hint="default" w:ascii="Times New Roman" w:hAnsi="Times New Roman" w:cs="Times New Roman"/>
          <w:color w:val="FF0000"/>
          <w:sz w:val="28"/>
          <w:szCs w:val="28"/>
          <w:highlight w:val="none"/>
          <w:lang w:val="en-US" w:eastAsia="zh-CN"/>
          <w14:textFill>
            <w14:gradFill>
              <w14:gsLst>
                <w14:gs w14:pos="0">
                  <w14:srgbClr w14:val="FE4444"/>
                </w14:gs>
                <w14:gs w14:pos="100000">
                  <w14:srgbClr w14:val="832B2B"/>
                </w14:gs>
              </w14:gsLst>
              <w14:lin w14:scaled="0"/>
            </w14:gradFill>
          </w14:textFill>
        </w:rPr>
      </w:pPr>
      <w:r>
        <w:rPr>
          <w:rFonts w:hint="eastAsia" w:ascii="Times New Roman" w:hAnsi="Times New Roman" w:cs="Times New Roman"/>
          <w:color w:val="auto"/>
          <w:sz w:val="28"/>
          <w:szCs w:val="28"/>
          <w:highlight w:val="none"/>
          <w:lang w:val="en-US" w:eastAsia="zh-CN"/>
        </w:rPr>
        <w:t>安阳九久化学科技有限公司</w:t>
      </w:r>
      <w:r>
        <w:rPr>
          <w:rFonts w:hint="default" w:ascii="Times New Roman" w:hAnsi="Times New Roman" w:cs="Times New Roman"/>
          <w:color w:val="auto"/>
          <w:sz w:val="28"/>
          <w:szCs w:val="28"/>
          <w:highlight w:val="none"/>
          <w:lang w:val="en-US" w:eastAsia="zh-CN"/>
        </w:rPr>
        <w:t>每年定期开展土壤</w:t>
      </w:r>
      <w:r>
        <w:rPr>
          <w:rFonts w:hint="eastAsia" w:ascii="Times New Roman" w:hAnsi="Times New Roman" w:cs="Times New Roman"/>
          <w:color w:val="auto"/>
          <w:sz w:val="28"/>
          <w:szCs w:val="28"/>
          <w:highlight w:val="none"/>
          <w:lang w:val="en-US" w:eastAsia="zh-CN"/>
        </w:rPr>
        <w:t>及地下水</w:t>
      </w:r>
      <w:r>
        <w:rPr>
          <w:rFonts w:hint="default" w:ascii="Times New Roman" w:hAnsi="Times New Roman" w:cs="Times New Roman"/>
          <w:color w:val="auto"/>
          <w:sz w:val="28"/>
          <w:szCs w:val="28"/>
          <w:highlight w:val="none"/>
          <w:lang w:val="en-US" w:eastAsia="zh-CN"/>
        </w:rPr>
        <w:t>自行监测工作，经检测，项目土壤</w:t>
      </w:r>
      <w:r>
        <w:rPr>
          <w:rFonts w:hint="eastAsia" w:ascii="Times New Roman" w:hAnsi="Times New Roman" w:cs="Times New Roman"/>
          <w:color w:val="auto"/>
          <w:sz w:val="28"/>
          <w:szCs w:val="28"/>
          <w:highlight w:val="none"/>
          <w:lang w:val="en-US" w:eastAsia="zh-CN"/>
        </w:rPr>
        <w:t>及地下水</w:t>
      </w:r>
      <w:r>
        <w:rPr>
          <w:rFonts w:hint="default" w:ascii="Times New Roman" w:hAnsi="Times New Roman" w:cs="Times New Roman"/>
          <w:color w:val="auto"/>
          <w:sz w:val="28"/>
          <w:szCs w:val="28"/>
          <w:highlight w:val="none"/>
          <w:lang w:val="en-US" w:eastAsia="zh-CN"/>
        </w:rPr>
        <w:t>监测因子均未超出相应国家及地方标准</w:t>
      </w:r>
      <w:r>
        <w:rPr>
          <w:rFonts w:hint="eastAsia"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详见</w:t>
      </w:r>
      <w:r>
        <w:rPr>
          <w:rFonts w:hint="eastAsia" w:ascii="Times New Roman" w:hAnsi="Times New Roman" w:cs="Times New Roman"/>
          <w:color w:val="auto"/>
          <w:sz w:val="28"/>
          <w:szCs w:val="28"/>
          <w:highlight w:val="none"/>
          <w:lang w:val="en-US" w:eastAsia="zh-CN"/>
        </w:rPr>
        <w:t>附件）</w:t>
      </w:r>
      <w:r>
        <w:rPr>
          <w:rFonts w:hint="default" w:ascii="Times New Roman" w:hAnsi="Times New Roman" w:cs="Times New Roman"/>
          <w:color w:val="auto"/>
          <w:sz w:val="28"/>
          <w:szCs w:val="28"/>
          <w:highlight w:val="none"/>
          <w:lang w:val="en-US" w:eastAsia="zh-CN"/>
        </w:rPr>
        <w:t>。</w:t>
      </w:r>
    </w:p>
    <w:p>
      <w:pPr>
        <w:keepNext w:val="0"/>
        <w:keepLines w:val="0"/>
        <w:pageBreakBefore w:val="0"/>
        <w:widowControl/>
        <w:shd w:val="clear"/>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2020年11月，安阳九久化学科技有限公司委托河南益民环境监测有限公司</w:t>
      </w:r>
      <w:r>
        <w:rPr>
          <w:rFonts w:hint="eastAsia" w:ascii="Times New Roman" w:hAnsi="Times New Roman" w:cs="Times New Roman"/>
          <w:color w:val="auto"/>
          <w:sz w:val="28"/>
          <w:szCs w:val="22"/>
          <w:lang w:val="en-US" w:eastAsia="zh-CN"/>
        </w:rPr>
        <w:t>对园区</w:t>
      </w:r>
      <w:r>
        <w:rPr>
          <w:rFonts w:hint="default" w:ascii="Times New Roman" w:hAnsi="Times New Roman" w:eastAsia="宋体" w:cs="Times New Roman"/>
          <w:color w:val="auto"/>
          <w:sz w:val="28"/>
          <w:szCs w:val="28"/>
          <w:highlight w:val="none"/>
          <w:lang w:val="en-US" w:eastAsia="zh-CN"/>
        </w:rPr>
        <w:t>土壤</w:t>
      </w:r>
      <w:r>
        <w:rPr>
          <w:rFonts w:hint="eastAsia" w:ascii="Times New Roman" w:hAnsi="Times New Roman" w:cs="Times New Roman"/>
          <w:color w:val="auto"/>
          <w:sz w:val="28"/>
          <w:szCs w:val="28"/>
          <w:highlight w:val="none"/>
          <w:lang w:val="en-US" w:eastAsia="zh-CN"/>
        </w:rPr>
        <w:t>进行检测，并出具《安阳九久化学科技有限公司土壤、地下水检测报告》（报告号：益民环检字第WT2020272号），检测结果表明，</w:t>
      </w:r>
      <w:r>
        <w:rPr>
          <w:rFonts w:hint="default" w:ascii="Times New Roman" w:hAnsi="Times New Roman" w:eastAsia="宋体" w:cs="Times New Roman"/>
          <w:color w:val="auto"/>
          <w:sz w:val="28"/>
          <w:szCs w:val="28"/>
          <w:highlight w:val="none"/>
          <w:lang w:val="en-US" w:eastAsia="zh-CN"/>
        </w:rPr>
        <w:t>所有</w:t>
      </w:r>
      <w:r>
        <w:rPr>
          <w:rFonts w:hint="eastAsia" w:ascii="Times New Roman" w:hAnsi="Times New Roman" w:cs="Times New Roman"/>
          <w:color w:val="auto"/>
          <w:sz w:val="28"/>
          <w:szCs w:val="28"/>
          <w:highlight w:val="none"/>
          <w:lang w:val="en-US" w:eastAsia="zh-CN"/>
        </w:rPr>
        <w:t>土壤</w:t>
      </w:r>
      <w:r>
        <w:rPr>
          <w:rFonts w:hint="default" w:ascii="Times New Roman" w:hAnsi="Times New Roman" w:eastAsia="宋体" w:cs="Times New Roman"/>
          <w:color w:val="auto"/>
          <w:sz w:val="28"/>
          <w:szCs w:val="28"/>
          <w:highlight w:val="none"/>
          <w:lang w:val="en-US" w:eastAsia="zh-CN"/>
        </w:rPr>
        <w:t>数据均未超出</w:t>
      </w:r>
      <w:r>
        <w:rPr>
          <w:rFonts w:hint="default" w:ascii="Times New Roman" w:hAnsi="Times New Roman" w:eastAsia="宋体" w:cs="Times New Roman"/>
          <w:color w:val="auto"/>
          <w:sz w:val="28"/>
          <w:szCs w:val="28"/>
          <w:highlight w:val="none"/>
        </w:rPr>
        <w:t>《土壤环境质量建设用地土壤污染风险管控标准》（试行）</w:t>
      </w:r>
      <w:r>
        <w:rPr>
          <w:rFonts w:hint="default" w:ascii="Times New Roman" w:hAnsi="Times New Roman" w:eastAsia="宋体" w:cs="Times New Roman"/>
          <w:color w:val="auto"/>
          <w:sz w:val="28"/>
          <w:szCs w:val="28"/>
          <w:highlight w:val="none"/>
          <w:lang w:val="en-US" w:eastAsia="en-US"/>
        </w:rPr>
        <w:t>（GB36600-</w:t>
      </w:r>
      <w:r>
        <w:rPr>
          <w:rFonts w:hint="default" w:ascii="Times New Roman" w:hAnsi="Times New Roman" w:eastAsia="宋体" w:cs="Times New Roman"/>
          <w:color w:val="auto"/>
          <w:sz w:val="28"/>
          <w:szCs w:val="28"/>
          <w:highlight w:val="none"/>
        </w:rPr>
        <w:t>2018）</w:t>
      </w:r>
      <w:r>
        <w:rPr>
          <w:rFonts w:hint="default" w:ascii="Times New Roman" w:hAnsi="Times New Roman" w:eastAsia="宋体" w:cs="Times New Roman"/>
          <w:color w:val="auto"/>
          <w:sz w:val="28"/>
          <w:szCs w:val="28"/>
          <w:highlight w:val="none"/>
          <w:lang w:val="en-US" w:eastAsia="zh-CN"/>
        </w:rPr>
        <w:t>筛选值第二类用地限值要求</w:t>
      </w:r>
      <w:r>
        <w:rPr>
          <w:rFonts w:hint="eastAsia" w:ascii="Times New Roman" w:hAnsi="Times New Roman" w:cs="Times New Roman"/>
          <w:color w:val="auto"/>
          <w:sz w:val="28"/>
          <w:szCs w:val="28"/>
          <w:highlight w:val="none"/>
          <w:lang w:val="en-US" w:eastAsia="zh-CN"/>
        </w:rPr>
        <w:t>，地下水满足《地下水质量标准》（GB/T 14848-2017）三类限值要求</w:t>
      </w:r>
      <w:r>
        <w:rPr>
          <w:rFonts w:hint="default" w:ascii="Times New Roman" w:hAnsi="Times New Roman" w:eastAsia="宋体" w:cs="Times New Roman"/>
          <w:color w:val="auto"/>
          <w:sz w:val="28"/>
          <w:szCs w:val="28"/>
          <w:highlight w:val="none"/>
          <w:lang w:val="en-US" w:eastAsia="zh-CN"/>
        </w:rPr>
        <w:t>。</w:t>
      </w: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r>
        <w:rPr>
          <w:rFonts w:hint="default" w:ascii="Times New Roman" w:hAnsi="Times New Roman" w:cs="Times New Roman"/>
          <w:highlight w:val="none"/>
        </w:rPr>
        <w:br w:type="page"/>
      </w:r>
    </w:p>
    <w:p>
      <w:pPr>
        <w:pStyle w:val="5"/>
        <w:keepNext/>
        <w:keepLines/>
        <w:pageBreakBefore w:val="0"/>
        <w:widowControl/>
        <w:kinsoku/>
        <w:wordWrap/>
        <w:overflowPunct/>
        <w:topLinePunct w:val="0"/>
        <w:autoSpaceDE/>
        <w:autoSpaceDN/>
        <w:bidi w:val="0"/>
        <w:adjustRightInd w:val="0"/>
        <w:snapToGrid w:val="0"/>
        <w:spacing w:before="157" w:beforeLines="50" w:after="157" w:afterLines="50" w:line="360" w:lineRule="auto"/>
        <w:jc w:val="center"/>
        <w:textAlignment w:val="auto"/>
        <w:rPr>
          <w:rFonts w:hint="default" w:ascii="Times New Roman" w:hAnsi="Times New Roman" w:eastAsia="宋体" w:cs="Times New Roman"/>
          <w:sz w:val="32"/>
          <w:szCs w:val="32"/>
          <w:highlight w:val="none"/>
          <w:lang w:eastAsia="zh-CN"/>
        </w:rPr>
      </w:pPr>
      <w:bookmarkStart w:id="54" w:name="_Toc27437"/>
      <w:r>
        <w:rPr>
          <w:rFonts w:hint="default" w:ascii="Times New Roman" w:hAnsi="Times New Roman" w:cs="Times New Roman"/>
          <w:sz w:val="32"/>
          <w:szCs w:val="32"/>
          <w:highlight w:val="none"/>
          <w:lang w:val="en-US" w:eastAsia="zh-CN"/>
        </w:rPr>
        <w:t>3</w:t>
      </w:r>
      <w:r>
        <w:rPr>
          <w:rFonts w:hint="default" w:ascii="Times New Roman" w:hAnsi="Times New Roman" w:cs="Times New Roman"/>
          <w:sz w:val="32"/>
          <w:szCs w:val="32"/>
          <w:highlight w:val="none"/>
        </w:rPr>
        <w:t>、排查方法</w:t>
      </w:r>
      <w:bookmarkEnd w:id="54"/>
    </w:p>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30"/>
          <w:szCs w:val="30"/>
          <w:highlight w:val="none"/>
          <w:lang w:eastAsia="zh-CN"/>
        </w:rPr>
      </w:pPr>
      <w:bookmarkStart w:id="55" w:name="_Toc8723"/>
      <w:r>
        <w:rPr>
          <w:rFonts w:hint="default" w:ascii="Times New Roman" w:hAnsi="Times New Roman" w:cs="Times New Roman"/>
          <w:sz w:val="30"/>
          <w:szCs w:val="30"/>
          <w:highlight w:val="none"/>
          <w:lang w:val="en-US" w:eastAsia="zh-CN"/>
        </w:rPr>
        <w:t>3</w:t>
      </w:r>
      <w:r>
        <w:rPr>
          <w:rFonts w:hint="default" w:ascii="Times New Roman" w:hAnsi="Times New Roman" w:cs="Times New Roman"/>
          <w:sz w:val="30"/>
          <w:szCs w:val="30"/>
          <w:highlight w:val="none"/>
        </w:rPr>
        <w:t>.1资料收集</w:t>
      </w:r>
      <w:bookmarkEnd w:id="55"/>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202</w:t>
      </w:r>
      <w:r>
        <w:rPr>
          <w:rFonts w:hint="default" w:ascii="Times New Roman" w:hAnsi="Times New Roman" w:cs="Times New Roman"/>
          <w:sz w:val="28"/>
          <w:szCs w:val="28"/>
          <w:highlight w:val="none"/>
          <w:lang w:val="en-US" w:eastAsia="zh-CN"/>
        </w:rPr>
        <w:t>1</w:t>
      </w:r>
      <w:r>
        <w:rPr>
          <w:rFonts w:hint="default" w:ascii="Times New Roman" w:hAnsi="Times New Roman" w:eastAsia="宋体" w:cs="Times New Roman"/>
          <w:sz w:val="28"/>
          <w:szCs w:val="28"/>
          <w:highlight w:val="none"/>
          <w:lang w:val="en-US" w:eastAsia="zh-CN"/>
        </w:rPr>
        <w:t>年</w:t>
      </w:r>
      <w:r>
        <w:rPr>
          <w:rFonts w:hint="default" w:ascii="Times New Roman" w:hAnsi="Times New Roman" w:cs="Times New Roman"/>
          <w:sz w:val="28"/>
          <w:szCs w:val="28"/>
          <w:highlight w:val="none"/>
          <w:lang w:val="en-US" w:eastAsia="zh-CN"/>
        </w:rPr>
        <w:t>0</w:t>
      </w:r>
      <w:r>
        <w:rPr>
          <w:rFonts w:hint="eastAsia" w:ascii="Times New Roman" w:hAnsi="Times New Roman" w:cs="Times New Roman"/>
          <w:sz w:val="28"/>
          <w:szCs w:val="28"/>
          <w:highlight w:val="none"/>
          <w:lang w:val="en-US" w:eastAsia="zh-CN"/>
        </w:rPr>
        <w:t>8</w:t>
      </w:r>
      <w:r>
        <w:rPr>
          <w:rFonts w:hint="default" w:ascii="Times New Roman" w:hAnsi="Times New Roman" w:eastAsia="宋体" w:cs="Times New Roman"/>
          <w:sz w:val="28"/>
          <w:szCs w:val="28"/>
          <w:highlight w:val="none"/>
          <w:lang w:val="en-US" w:eastAsia="zh-CN"/>
        </w:rPr>
        <w:t>月</w:t>
      </w:r>
      <w:r>
        <w:rPr>
          <w:rFonts w:hint="eastAsia" w:ascii="Times New Roman" w:hAnsi="Times New Roman" w:cs="Times New Roman"/>
          <w:sz w:val="28"/>
          <w:szCs w:val="28"/>
          <w:highlight w:val="none"/>
          <w:lang w:val="en-US" w:eastAsia="zh-CN"/>
        </w:rPr>
        <w:t>20</w:t>
      </w:r>
      <w:r>
        <w:rPr>
          <w:rFonts w:hint="default" w:ascii="Times New Roman" w:hAnsi="Times New Roman" w:eastAsia="宋体" w:cs="Times New Roman"/>
          <w:sz w:val="28"/>
          <w:szCs w:val="28"/>
          <w:highlight w:val="none"/>
          <w:lang w:val="en-US" w:eastAsia="zh-CN"/>
        </w:rPr>
        <w:t>日，我公司组织人员对项目开展资料搜集工作，</w:t>
      </w:r>
      <w:r>
        <w:rPr>
          <w:rFonts w:hint="default" w:ascii="Times New Roman" w:hAnsi="Times New Roman" w:cs="Times New Roman"/>
          <w:sz w:val="28"/>
          <w:szCs w:val="28"/>
          <w:highlight w:val="none"/>
          <w:lang w:val="en-US" w:eastAsia="zh-CN"/>
        </w:rPr>
        <w:t>主要包括</w:t>
      </w:r>
      <w:r>
        <w:rPr>
          <w:rFonts w:hint="eastAsia" w:ascii="Times New Roman" w:hAnsi="Times New Roman" w:cs="Times New Roman"/>
          <w:sz w:val="28"/>
          <w:szCs w:val="28"/>
          <w:highlight w:val="none"/>
          <w:lang w:eastAsia="zh-CN"/>
        </w:rPr>
        <w:t>安阳九久化学科技有限公司年产10万吨保险粉项目</w:t>
      </w:r>
      <w:r>
        <w:rPr>
          <w:rFonts w:hint="default" w:ascii="Times New Roman" w:hAnsi="Times New Roman" w:cs="Times New Roman"/>
          <w:sz w:val="28"/>
          <w:szCs w:val="28"/>
          <w:highlight w:val="none"/>
          <w:lang w:val="en-US" w:eastAsia="zh-CN"/>
        </w:rPr>
        <w:t>环境影响评价报告、批复、竣工验收报告及批复，排污许可证，还有风险分级管控和隐患排查治理双重预防机制工作手册、应急预案、原辅材料入库化验抽查表、危险废物出入口台账、污染防治措施运行记录、历史土壤检测报告等。</w:t>
      </w:r>
      <w:r>
        <w:rPr>
          <w:rFonts w:hint="eastAsia" w:ascii="Times New Roman" w:hAnsi="Times New Roman" w:cs="Times New Roman"/>
          <w:sz w:val="28"/>
          <w:szCs w:val="28"/>
          <w:highlight w:val="none"/>
          <w:lang w:val="en-US" w:eastAsia="zh-CN"/>
        </w:rPr>
        <w:t>08</w:t>
      </w:r>
      <w:r>
        <w:rPr>
          <w:rFonts w:hint="default" w:ascii="Times New Roman" w:hAnsi="Times New Roman" w:eastAsia="宋体" w:cs="Times New Roman"/>
          <w:sz w:val="28"/>
          <w:szCs w:val="28"/>
          <w:highlight w:val="none"/>
          <w:lang w:val="en-US" w:eastAsia="zh-CN"/>
        </w:rPr>
        <w:t>月</w:t>
      </w:r>
      <w:r>
        <w:rPr>
          <w:rFonts w:hint="eastAsia" w:ascii="Times New Roman" w:hAnsi="Times New Roman" w:cs="Times New Roman"/>
          <w:sz w:val="28"/>
          <w:szCs w:val="28"/>
          <w:highlight w:val="none"/>
          <w:lang w:val="en-US" w:eastAsia="zh-CN"/>
        </w:rPr>
        <w:t>20</w:t>
      </w:r>
      <w:r>
        <w:rPr>
          <w:rFonts w:hint="default" w:ascii="Times New Roman" w:hAnsi="Times New Roman" w:eastAsia="宋体" w:cs="Times New Roman"/>
          <w:sz w:val="28"/>
          <w:szCs w:val="28"/>
          <w:highlight w:val="none"/>
          <w:lang w:val="en-US" w:eastAsia="zh-CN"/>
        </w:rPr>
        <w:t>日</w:t>
      </w:r>
      <w:r>
        <w:rPr>
          <w:rFonts w:hint="default" w:ascii="Times New Roman" w:hAnsi="Times New Roman" w:cs="Times New Roman"/>
          <w:sz w:val="28"/>
          <w:szCs w:val="28"/>
          <w:highlight w:val="none"/>
          <w:lang w:val="en-US" w:eastAsia="zh-CN"/>
        </w:rPr>
        <w:t>至</w:t>
      </w:r>
      <w:r>
        <w:rPr>
          <w:rFonts w:hint="eastAsia" w:ascii="Times New Roman" w:hAnsi="Times New Roman" w:cs="Times New Roman"/>
          <w:sz w:val="28"/>
          <w:szCs w:val="28"/>
          <w:highlight w:val="none"/>
          <w:lang w:val="en-US" w:eastAsia="zh-CN"/>
        </w:rPr>
        <w:t>08</w:t>
      </w:r>
      <w:r>
        <w:rPr>
          <w:rFonts w:hint="default" w:ascii="Times New Roman" w:hAnsi="Times New Roman" w:eastAsia="宋体" w:cs="Times New Roman"/>
          <w:sz w:val="28"/>
          <w:szCs w:val="28"/>
          <w:highlight w:val="none"/>
          <w:lang w:val="en-US" w:eastAsia="zh-CN"/>
        </w:rPr>
        <w:t>月</w:t>
      </w:r>
      <w:r>
        <w:rPr>
          <w:rFonts w:hint="eastAsia" w:ascii="Times New Roman" w:hAnsi="Times New Roman" w:cs="Times New Roman"/>
          <w:sz w:val="28"/>
          <w:szCs w:val="28"/>
          <w:highlight w:val="none"/>
          <w:lang w:val="en-US" w:eastAsia="zh-CN"/>
        </w:rPr>
        <w:t>21</w:t>
      </w:r>
      <w:r>
        <w:rPr>
          <w:rFonts w:hint="default" w:ascii="Times New Roman" w:hAnsi="Times New Roman" w:eastAsia="宋体" w:cs="Times New Roman"/>
          <w:sz w:val="28"/>
          <w:szCs w:val="28"/>
          <w:highlight w:val="none"/>
          <w:lang w:val="en-US" w:eastAsia="zh-CN"/>
        </w:rPr>
        <w:t>日对场地开展初步调查和踏勘，调查范围主要包括产品生产单元，厂区库房（原材料、成品库房）、罐区（固态、液态物质的存储和运输）、固（废）废堆存点、</w:t>
      </w:r>
      <w:r>
        <w:rPr>
          <w:rFonts w:hint="default" w:ascii="Times New Roman" w:hAnsi="Times New Roman" w:cs="Times New Roman"/>
          <w:sz w:val="28"/>
          <w:szCs w:val="28"/>
          <w:highlight w:val="none"/>
          <w:lang w:val="en-US" w:eastAsia="zh-CN"/>
        </w:rPr>
        <w:t>环境保护设施</w:t>
      </w:r>
      <w:r>
        <w:rPr>
          <w:rFonts w:hint="default" w:ascii="Times New Roman" w:hAnsi="Times New Roman" w:eastAsia="宋体" w:cs="Times New Roman"/>
          <w:sz w:val="28"/>
          <w:szCs w:val="28"/>
          <w:highlight w:val="none"/>
          <w:lang w:val="en-US" w:eastAsia="zh-CN"/>
        </w:rPr>
        <w:t>、周边敏感目标。</w:t>
      </w:r>
    </w:p>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30"/>
          <w:szCs w:val="30"/>
          <w:highlight w:val="none"/>
          <w:lang w:eastAsia="zh-CN"/>
        </w:rPr>
      </w:pPr>
      <w:bookmarkStart w:id="56" w:name="_Toc12748"/>
      <w:r>
        <w:rPr>
          <w:rFonts w:hint="default" w:ascii="Times New Roman" w:hAnsi="Times New Roman" w:cs="Times New Roman"/>
          <w:sz w:val="30"/>
          <w:szCs w:val="30"/>
          <w:highlight w:val="none"/>
          <w:lang w:val="en-US" w:eastAsia="zh-CN"/>
        </w:rPr>
        <w:t>3</w:t>
      </w:r>
      <w:r>
        <w:rPr>
          <w:rFonts w:hint="default" w:ascii="Times New Roman" w:hAnsi="Times New Roman" w:cs="Times New Roman"/>
          <w:sz w:val="30"/>
          <w:szCs w:val="30"/>
          <w:highlight w:val="none"/>
        </w:rPr>
        <w:t>.</w:t>
      </w:r>
      <w:r>
        <w:rPr>
          <w:rFonts w:hint="default" w:ascii="Times New Roman" w:hAnsi="Times New Roman" w:cs="Times New Roman"/>
          <w:sz w:val="30"/>
          <w:szCs w:val="30"/>
          <w:highlight w:val="none"/>
          <w:lang w:val="en-US" w:eastAsia="zh-CN"/>
        </w:rPr>
        <w:t>2人员访谈</w:t>
      </w:r>
      <w:bookmarkEnd w:id="56"/>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2021年</w:t>
      </w:r>
      <w:r>
        <w:rPr>
          <w:rFonts w:hint="eastAsia" w:ascii="Times New Roman" w:hAnsi="Times New Roman" w:cs="Times New Roman"/>
          <w:sz w:val="28"/>
          <w:szCs w:val="28"/>
          <w:highlight w:val="none"/>
          <w:lang w:val="en-US" w:eastAsia="zh-CN"/>
        </w:rPr>
        <w:t>08</w:t>
      </w:r>
      <w:r>
        <w:rPr>
          <w:rFonts w:hint="default" w:ascii="Times New Roman" w:hAnsi="Times New Roman" w:eastAsia="宋体" w:cs="Times New Roman"/>
          <w:sz w:val="28"/>
          <w:szCs w:val="28"/>
          <w:highlight w:val="none"/>
          <w:lang w:val="en-US" w:eastAsia="zh-CN"/>
        </w:rPr>
        <w:t>月</w:t>
      </w:r>
      <w:r>
        <w:rPr>
          <w:rFonts w:hint="eastAsia" w:ascii="Times New Roman" w:hAnsi="Times New Roman" w:cs="Times New Roman"/>
          <w:sz w:val="28"/>
          <w:szCs w:val="28"/>
          <w:highlight w:val="none"/>
          <w:lang w:val="en-US" w:eastAsia="zh-CN"/>
        </w:rPr>
        <w:t>20</w:t>
      </w:r>
      <w:r>
        <w:rPr>
          <w:rFonts w:hint="default" w:ascii="Times New Roman" w:hAnsi="Times New Roman" w:eastAsia="宋体" w:cs="Times New Roman"/>
          <w:sz w:val="28"/>
          <w:szCs w:val="28"/>
          <w:highlight w:val="none"/>
          <w:lang w:val="en-US" w:eastAsia="zh-CN"/>
        </w:rPr>
        <w:t>日，我公司相关人员对</w:t>
      </w:r>
      <w:r>
        <w:rPr>
          <w:rFonts w:hint="eastAsia" w:ascii="Times New Roman" w:hAnsi="Times New Roman" w:cs="Times New Roman"/>
          <w:sz w:val="28"/>
          <w:szCs w:val="28"/>
          <w:highlight w:val="none"/>
          <w:lang w:val="en-US" w:eastAsia="zh-CN"/>
        </w:rPr>
        <w:t>安阳九久化学科技有限公司</w:t>
      </w:r>
      <w:r>
        <w:rPr>
          <w:rFonts w:hint="default" w:ascii="Times New Roman" w:hAnsi="Times New Roman" w:eastAsia="宋体" w:cs="Times New Roman"/>
          <w:sz w:val="28"/>
          <w:szCs w:val="28"/>
          <w:highlight w:val="none"/>
          <w:lang w:val="en-US" w:eastAsia="zh-CN"/>
        </w:rPr>
        <w:t>负责人</w:t>
      </w:r>
      <w:r>
        <w:rPr>
          <w:rFonts w:hint="default" w:ascii="Times New Roman" w:hAnsi="Times New Roman" w:cs="Times New Roman"/>
          <w:sz w:val="28"/>
          <w:szCs w:val="28"/>
          <w:highlight w:val="none"/>
          <w:lang w:val="en-US" w:eastAsia="zh-CN"/>
        </w:rPr>
        <w:t>、</w:t>
      </w:r>
      <w:r>
        <w:rPr>
          <w:rFonts w:hint="default" w:ascii="Times New Roman" w:hAnsi="Times New Roman" w:eastAsia="宋体" w:cs="Times New Roman"/>
          <w:sz w:val="28"/>
          <w:szCs w:val="28"/>
          <w:highlight w:val="none"/>
          <w:lang w:val="en-US" w:eastAsia="zh-CN"/>
        </w:rPr>
        <w:t>厂区工人</w:t>
      </w:r>
      <w:r>
        <w:rPr>
          <w:rFonts w:hint="default" w:ascii="Times New Roman" w:hAnsi="Times New Roman" w:cs="Times New Roman"/>
          <w:sz w:val="28"/>
          <w:szCs w:val="28"/>
          <w:highlight w:val="none"/>
          <w:lang w:val="en-US" w:eastAsia="zh-CN"/>
        </w:rPr>
        <w:t>和附近村民开展了人员访谈工作。我单位人员对</w:t>
      </w:r>
      <w:r>
        <w:rPr>
          <w:rFonts w:hint="eastAsia" w:ascii="Times New Roman" w:hAnsi="Times New Roman" w:cs="Times New Roman"/>
          <w:sz w:val="28"/>
          <w:szCs w:val="28"/>
          <w:highlight w:val="none"/>
          <w:lang w:val="en-US" w:eastAsia="zh-CN"/>
        </w:rPr>
        <w:t>安阳九久化学科技有限公司</w:t>
      </w:r>
      <w:r>
        <w:rPr>
          <w:rFonts w:hint="default" w:ascii="Times New Roman" w:hAnsi="Times New Roman" w:cs="Times New Roman"/>
          <w:sz w:val="28"/>
          <w:szCs w:val="28"/>
          <w:highlight w:val="none"/>
          <w:lang w:val="en-US" w:eastAsia="zh-CN"/>
        </w:rPr>
        <w:t>的历史生产情况、车间分布、产排污情况有了深一步的了解。同时了解到，本场地未发生重大环境污染事故</w:t>
      </w:r>
      <w:r>
        <w:rPr>
          <w:rFonts w:hint="eastAsia" w:ascii="Times New Roman" w:hAnsi="Times New Roman" w:cs="Times New Roman"/>
          <w:sz w:val="28"/>
          <w:szCs w:val="28"/>
          <w:highlight w:val="none"/>
          <w:lang w:val="en-US" w:eastAsia="zh-CN"/>
        </w:rPr>
        <w:t>以及本厂现处于长期停产状态。</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6"/>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926"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2330450" cy="1748155"/>
                  <wp:effectExtent l="0" t="0" r="1270" b="4445"/>
                  <wp:docPr id="26" name="图片 26" descr="C:/Users/Administrator/AppData/Local/Temp/picturecompress_20210930180217/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picturecompress_20210930180217/output_10.jpgoutput_10"/>
                          <pic:cNvPicPr>
                            <a:picLocks noChangeAspect="1"/>
                          </pic:cNvPicPr>
                        </pic:nvPicPr>
                        <pic:blipFill>
                          <a:blip r:embed="rId30"/>
                          <a:stretch>
                            <a:fillRect/>
                          </a:stretch>
                        </pic:blipFill>
                        <pic:spPr>
                          <a:xfrm>
                            <a:off x="0" y="0"/>
                            <a:ext cx="2330450" cy="1748155"/>
                          </a:xfrm>
                          <a:prstGeom prst="rect">
                            <a:avLst/>
                          </a:prstGeom>
                        </pic:spPr>
                      </pic:pic>
                    </a:graphicData>
                  </a:graphic>
                </wp:inline>
              </w:drawing>
            </w:r>
          </w:p>
        </w:tc>
        <w:tc>
          <w:tcPr>
            <w:tcW w:w="4927"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2310130" cy="1733550"/>
                  <wp:effectExtent l="0" t="0" r="6350" b="3810"/>
                  <wp:docPr id="27" name="图片 27" descr="C:/Users/Administrator/AppData/Local/Temp/picturecompress_20210930180217/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Local/Temp/picturecompress_20210930180217/output_11.jpgoutput_11"/>
                          <pic:cNvPicPr>
                            <a:picLocks noChangeAspect="1"/>
                          </pic:cNvPicPr>
                        </pic:nvPicPr>
                        <pic:blipFill>
                          <a:blip r:embed="rId31"/>
                          <a:stretch>
                            <a:fillRect/>
                          </a:stretch>
                        </pic:blipFill>
                        <pic:spPr>
                          <a:xfrm>
                            <a:off x="0" y="0"/>
                            <a:ext cx="2310130" cy="1733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926"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b/>
                <w:bCs/>
                <w:vertAlign w:val="baseline"/>
                <w:lang w:val="en-US" w:eastAsia="zh-CN"/>
              </w:rPr>
            </w:pPr>
            <w:r>
              <w:rPr>
                <w:rFonts w:hint="default"/>
                <w:b/>
                <w:bCs/>
                <w:vertAlign w:val="baseline"/>
                <w:lang w:val="en-US" w:eastAsia="zh-CN"/>
              </w:rPr>
              <w:drawing>
                <wp:inline distT="0" distB="0" distL="114300" distR="114300">
                  <wp:extent cx="2315845" cy="1737360"/>
                  <wp:effectExtent l="0" t="0" r="635" b="0"/>
                  <wp:docPr id="28" name="图片 28" descr="C:/Users/Administrator/AppData/Local/Temp/picturecompress_20210930180217/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Local/Temp/picturecompress_20210930180217/output_12.jpgoutput_12"/>
                          <pic:cNvPicPr>
                            <a:picLocks noChangeAspect="1"/>
                          </pic:cNvPicPr>
                        </pic:nvPicPr>
                        <pic:blipFill>
                          <a:blip r:embed="rId32"/>
                          <a:stretch>
                            <a:fillRect/>
                          </a:stretch>
                        </pic:blipFill>
                        <pic:spPr>
                          <a:xfrm>
                            <a:off x="0" y="0"/>
                            <a:ext cx="2315845" cy="1737360"/>
                          </a:xfrm>
                          <a:prstGeom prst="rect">
                            <a:avLst/>
                          </a:prstGeom>
                        </pic:spPr>
                      </pic:pic>
                    </a:graphicData>
                  </a:graphic>
                </wp:inline>
              </w:drawing>
            </w:r>
          </w:p>
        </w:tc>
        <w:tc>
          <w:tcPr>
            <w:tcW w:w="4927"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2336800" cy="1753870"/>
                  <wp:effectExtent l="0" t="0" r="10160" b="13970"/>
                  <wp:docPr id="29" name="图片 29" descr="C:/Users/Administrator/AppData/Local/Temp/picturecompress_20210930180217/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Local/Temp/picturecompress_20210930180217/output_13.jpgoutput_13"/>
                          <pic:cNvPicPr>
                            <a:picLocks noChangeAspect="1"/>
                          </pic:cNvPicPr>
                        </pic:nvPicPr>
                        <pic:blipFill>
                          <a:blip r:embed="rId33"/>
                          <a:stretch>
                            <a:fillRect/>
                          </a:stretch>
                        </pic:blipFill>
                        <pic:spPr>
                          <a:xfrm>
                            <a:off x="0" y="0"/>
                            <a:ext cx="2336800" cy="17538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9853" w:type="dxa"/>
            <w:gridSpan w:val="2"/>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vertAlign w:val="baseline"/>
                <w:lang w:val="en-US" w:eastAsia="zh-CN"/>
              </w:rPr>
            </w:pPr>
            <w:r>
              <w:rPr>
                <w:rFonts w:hint="eastAsia"/>
                <w:b/>
                <w:bCs/>
                <w:color w:val="auto"/>
                <w:sz w:val="24"/>
                <w:szCs w:val="24"/>
                <w:vertAlign w:val="baseline"/>
                <w:lang w:val="en-US" w:eastAsia="zh-CN"/>
              </w:rPr>
              <w:t>图3-1 人员访谈照片</w:t>
            </w:r>
          </w:p>
        </w:tc>
      </w:tr>
    </w:tbl>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lang w:val="en-US" w:eastAsia="zh-CN"/>
        </w:rPr>
      </w:pPr>
      <w:bookmarkStart w:id="57" w:name="_Toc84"/>
      <w:r>
        <w:rPr>
          <w:rFonts w:hint="default" w:ascii="Times New Roman" w:hAnsi="Times New Roman" w:cs="Times New Roman"/>
          <w:sz w:val="30"/>
          <w:szCs w:val="30"/>
          <w:highlight w:val="none"/>
          <w:lang w:val="en-US" w:eastAsia="zh-CN"/>
        </w:rPr>
        <w:t>3</w:t>
      </w:r>
      <w:r>
        <w:rPr>
          <w:rFonts w:hint="default" w:ascii="Times New Roman" w:hAnsi="Times New Roman" w:cs="Times New Roman"/>
          <w:sz w:val="30"/>
          <w:szCs w:val="30"/>
          <w:highlight w:val="none"/>
        </w:rPr>
        <w:t>.</w:t>
      </w:r>
      <w:r>
        <w:rPr>
          <w:rFonts w:hint="default" w:ascii="Times New Roman" w:hAnsi="Times New Roman" w:cs="Times New Roman"/>
          <w:sz w:val="30"/>
          <w:szCs w:val="30"/>
          <w:highlight w:val="none"/>
          <w:lang w:val="en-US" w:eastAsia="zh-CN"/>
        </w:rPr>
        <w:t>3重点场所或者重点设施设备确定</w:t>
      </w:r>
      <w:bookmarkEnd w:id="57"/>
    </w:p>
    <w:p>
      <w:pPr>
        <w:keepNext w:val="0"/>
        <w:keepLines w:val="0"/>
        <w:pageBreakBefore w:val="0"/>
        <w:widowControl/>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sz w:val="28"/>
          <w:szCs w:val="28"/>
          <w:highlight w:val="none"/>
          <w:lang w:eastAsia="zh-CN"/>
        </w:rPr>
      </w:pPr>
      <w:r>
        <w:rPr>
          <w:rFonts w:hint="default" w:ascii="Times New Roman" w:hAnsi="Times New Roman" w:cs="Times New Roman"/>
          <w:sz w:val="28"/>
          <w:szCs w:val="28"/>
          <w:highlight w:val="none"/>
        </w:rPr>
        <w:t>按照《重点监管单位土壤污染隐患排查指南（试行）》确定重点区域所涉及的重点设施及重点物质</w:t>
      </w:r>
      <w:r>
        <w:rPr>
          <w:rFonts w:hint="default" w:ascii="Times New Roman" w:hAnsi="Times New Roman" w:cs="Times New Roman"/>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3.3</w:t>
      </w:r>
      <w:r>
        <w:rPr>
          <w:rFonts w:hint="default" w:ascii="Times New Roman" w:hAnsi="Times New Roman" w:cs="Times New Roman"/>
          <w:sz w:val="28"/>
          <w:szCs w:val="28"/>
          <w:highlight w:val="none"/>
        </w:rPr>
        <w:t>.1 重点物质排查</w:t>
      </w:r>
    </w:p>
    <w:p>
      <w:pPr>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工业企业生产活动涉及到以下物质时，污染土壤的风险较大。包括但不限于：</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(一)危险化学品</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我国《危险化学品目录》(2015版)共有2828种危险化学品，其中对土壤产生污染的重点物质包括：</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1.有机溶剂</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包括但不限于：(1)醇；(2)醚；(3)酯；(4)有机酸；(5)单环芳烃；(6)酚；(7)多环芳烃；(8)氯化碳和氯化碳氟化合物；(9)农药及其中的活性物质成分；(10)溶剂，脱脂剂，脱漆剂和清洁剂，金属处理液；(11)清漆，油漆和油墨；(12)油(例如钻井油和切削油，轧制油，研磨油，润滑油，热油，杂酚油)；(13)木材防腐剂，杂酚油、蒽油；(14)染料；(15)液体燃料等。</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2.重金属、类重金属及无机化合物</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包括但不限于：(1)铬、钴、镍、铜、砷、钼、镉、锡、钡、汞、铅、铊、锑、铍等重金属或类金属的盐或溶液；(2)无机酸；(3)氨，氟化物，氰化物，硫化物，溴化物，磷酸盐，硝酸盐；(4)无机木材防腐剂及其水溶液等。</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（二）固体废物</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1.危险废物</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国家危险废物名录中的物质。</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2.第Ⅱ类一般工业固体废物</w:t>
      </w:r>
      <w:r>
        <w:rPr>
          <w:rFonts w:hint="default" w:ascii="Times New Roman" w:hAnsi="Times New Roman" w:cs="Times New Roman"/>
          <w:sz w:val="28"/>
          <w:szCs w:val="28"/>
          <w:highlight w:val="none"/>
          <w:lang w:val="en-US" w:eastAsia="zh-CN"/>
        </w:rPr>
        <w:br w:type="textWrapping"/>
      </w:r>
      <w:r>
        <w:rPr>
          <w:rFonts w:hint="default" w:ascii="Times New Roman" w:hAnsi="Times New Roman" w:cs="Times New Roman"/>
          <w:sz w:val="28"/>
          <w:szCs w:val="28"/>
          <w:highlight w:val="none"/>
          <w:lang w:val="en-US" w:eastAsia="zh-CN"/>
        </w:rPr>
        <w:t>　　按照《一般工业固体废物贮存、处置场污染控制标准》方法确定的第Ⅱ类一般工业固体废物。包括但不限于：(1)磷石膏；(2)赤泥；(3)锰渣等。</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3.3</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en-US" w:eastAsia="zh-CN"/>
        </w:rPr>
        <w:t>2重点设施设备及活动排查</w:t>
      </w:r>
    </w:p>
    <w:p>
      <w:pPr>
        <w:keepNext w:val="0"/>
        <w:keepLines w:val="0"/>
        <w:pageBreakBefore w:val="0"/>
        <w:widowControl/>
        <w:numPr>
          <w:ilvl w:val="0"/>
          <w:numId w:val="2"/>
        </w:numPr>
        <w:kinsoku/>
        <w:wordWrap/>
        <w:overflowPunct/>
        <w:topLinePunct w:val="0"/>
        <w:autoSpaceDE/>
        <w:autoSpaceDN/>
        <w:bidi w:val="0"/>
        <w:adjustRightInd w:val="0"/>
        <w:snapToGrid w:val="0"/>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散装液体储存设施设备</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散装液体储存设施设备包括地下储罐、地上储罐、离地的地上储罐、储存坑/塘等，其中储存坑/塘风险最大，地下储罐污染土壤的风险高于地上储罐，直接接地的地上储罐污染土壤的风险高于离地的地上储罐，离地的双层地上储罐污染土壤的风险并不一定比单层的低。</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1.地下储罐</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方式的地下储罐，可以降低其污染土壤的风险，包括但不限于：(1)将储罐放置于防渗设施内(如混凝土容器)；(2)给储罐配置泄漏检测装置；(3)给储罐配置阴极保护系统(在土壤腐蚀性强的区域，如盐碱化或酸雨严重地区，阴极保护或其它等效形式的腐蚀防护非常重要)；(4)采用双层储罐；(5)给罐体配置溢流收集装置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地下储罐污染土壤的风险，包括但不限于：(1)定期检查泄漏检测装置；(2)定期检查阴极保护系统；(3)定期检查储罐进料口、出料口、法兰、基槽和排净口等重点易发生渗漏的部位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2.直接接地的地上储罐</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采用以下设计和建设的地上储罐，可以降低污染土壤的风险，包括但不限于：(1)将储罐放置于防渗设备内(如混凝土容器、完整的围堰)；(2)给储罐配置泄漏检测装置等。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地上储罐污染土壤的风险，包括但不限于：(1)定期检查罐体(特别是四壁)及下垫面；(2)定期检查泄漏检测装置；(3)定期检查溢流导流系统(将溢流液体通过防渗的渠道导流至适当的容器内)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3.离地的地上储罐</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采用以下设计和建设的离地地上储罐，可以降低污染土壤的风险，包括但不限于：(1)在储罐下设计和建设防渗漏设施；(2)给罐体配置溢流收集装置等。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采用以下运行管理措施，可以降低污染土壤的风险，包括但不限于：(1)定期检查罐体渗漏情况；(2)定期检查进料口、进料管道、出料口和溢流收集装置；(3)定期维护罐体等。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4.储存坑/塘</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储存坑/塘是用于储存大量液体或固体的开放性设施。采用以下设计和建设，可以降低污染土壤的风险，包括但不限于：(1)具有防渗和防雨设施；(2)配置渗漏检测装置等。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采用以下运行管理措施，可以降低污染土壤的风险，包括但不限于：定期检查渗漏情况等。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（二）散装液体的运输及内部转运设施设备</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散装液体的运输及内部转运设施设备包括装车与卸货平台、管道、传输泵和桶等。为防止土壤污染，装卸平台一般应采用封闭式防渗设计。地下管道造成土壤污染的风险高于地上管道，如果定期检查地下管道的泄漏，可以降低造成土壤污染的风险。泵传输和桶装运输需在防渗下垫面上完成。</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1.进行装车与卸货活动的平台</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污染土壤的风险，包括但不限于：(1)装卸点具有防雨、防渗漏设施；(2)装卸软管具有自动停止控制装置；(3)有软管固定装置，保证输送液体物料时不会脱出至容器外面；(4)操作处应有清晰的灌注和抽出说明；(5)在灌注和抽出点设有油滴收集盘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采用以下运行管理措施，可以降低污染土壤的风险，包括但不限于：(1)定期进行管线检查；(2)定期进行容量检查；(3)定期检查渗漏检测系统；(4)产生事故时有专业人员和设备进行应对等。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2.运输管道</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污染土壤的风险，包括但不限于：(1)地下管道设计时配置泄漏检测装置；(2)给地下管道配置阴极保护和腐蚀防护系统(在土壤腐蚀性强的区域，如盐碱化或酸雨严重区域，阴极保护或其它等效形式的腐蚀防护非常重要)；(3)采用双层管道设计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定期进行渗漏检测；(2)定期检查阴极防护系统；(3)定期检查腐蚀防护系统；(4)定期对管线进行维护和保养；(5)产生事故时有专业人员和设备进行应对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3.传输泵</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泵传输液体物料时一般和大型储存装置或处理设施相连，操作人员一旦发现泵的故障，及时关闭管道即可防止液体泄漏，降低污染土壤的风险。</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采用以下设计和建设，可以降低泵传输过程中污染土壤的风险，包括但不限于：(1)将泵放置在防渗的设施中(如混凝土容器)</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(2)在泵体下方设计油滴收集盘装置</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(3)在泵体上方设计防雨设施等。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(1)定期检查泵运行情况</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t>(2)定期对泵进行维护等。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4.桶装运输</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危险物质的运输需要遵守危险物质转运规定(如使用罐车)，这样才能降低污染土壤的风险；对于不符合危险物质转运规定的情况，需对土壤污染风险进行严格检查。</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参与以下设计和建设，可以降低污染土壤的风险，包括但不限于：(1)运输区域设计不渗漏地面，且配有不渗漏的排水管和其它对应设施(如油/水分离器和事故应急阀门等)；(2)场地设计有防雨水设施等。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采用以下运行管理措施，可以降低污染土壤的风险，包括但不限于：(1)对开口桶运输有严格的管理流程和条例；(2)对开口桶运输区域有日常巡查记录；(3)产生事故时有专业人员和设备进行应对等。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（三）散装和包装货物的储存与运输设施设备</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未包装的散装货物在储存和运输过程中如果没有苫盖或其它设施，容易造成土壤污染。经过包装的液体货物在包装受损时容易导致土壤污染，当包装好的固体和粘性货物包装受损时，也可能导致土壤污染，但污染风险一般低于液体货物包装受损时所导致的风险。</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1.散装货物储存的设施设备</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在散装货物储存过程中采用以下设计和建设，可以降低污染土壤的风险，包括但不限于：(1)储存设施的屋顶足够大，能防止雨水影响散装货物；(2)防渗和防流失设施到位，能防止液体或雨水淋滤散装货物后进入土壤；(3)散装物品的储存设施具有围堰；(4)散装货物的储存设施具有墙体和屋顶以防止随风扩散；(5)散装货物直接放置于密闭防渗设施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采用以下运行管理措施，可以降低污染土壤的风险，包括但不限于：(1)场地具有有效的排水措施；(2)定期检查防雨和防渗设施；(3)对储存区域开展定期巡查；(4)产生事故时有专业人员和设备进行应对等。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2.散装货物运输的设施设备</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转移散装货物时，如果采用起重机抓斗，敞开式输送带或从卡车直接倾倒等开放的方式，通常会伴有较大的溢出，造成污染土壤的风险。</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在进行散装货物运输时可以降低污染土壤的风险，包括但不限于：(1)在封闭系统中(例如充气仓和密封式传输带)进行运输，可以避免扩散和溢出；(2)使用集装箱运输；(3)运输过程设计有完善的苫盖措施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采用以下运行管理措施，可以降低污染土壤的风险，包括但不限于：(1)对散装物品运输具有完善的管理规定和说明；(2)产生事故时有专业人员和设备进行应对等。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3.固体和粘性物品包装储存的设施设备</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采用以下设计和建设，可以降低污染土壤的风险，包括但不限于：(1)将包装物直接放置于密闭防渗的设备中；(2)使用特殊包装(如金属包装)；(3)具有防雨和防渗设施；(4)包装满足公路、铁路和航运等特殊要求等。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采用以下运行管理措施，可以降低污染土壤的风险，包括但不限于：(1)使用特殊包装时，放置包装的区域保留有防渗下垫面；(2)通过定期的监测和其它程序来防止泄漏等。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4.液体物品包装的储存</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污染土壤的风险，包括但不限于：(1)将包装物品放置于密闭防渗漏的设备中(如混凝土设施，金属包装等)；(2)具有完善的防雨和防渗设施；(3)包装满足公路、铁路和航运等特殊要求；(4)设计有油滴收集盘装置等。</w:t>
      </w:r>
    </w:p>
    <w:p>
      <w:pPr>
        <w:keepNext w:val="0"/>
        <w:keepLines w:val="0"/>
        <w:pageBreakBefore w:val="0"/>
        <w:widowControl/>
        <w:numPr>
          <w:ilvl w:val="0"/>
          <w:numId w:val="0"/>
        </w:numPr>
        <w:kinsoku/>
        <w:wordWrap/>
        <w:overflowPunct/>
        <w:topLinePunct w:val="0"/>
        <w:autoSpaceDE/>
        <w:autoSpaceDN/>
        <w:bidi w:val="0"/>
        <w:adjustRightInd w:val="0"/>
        <w:snapToGrid w:val="0"/>
        <w:ind w:firstLine="560" w:firstLineChars="20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采用以下运行管理措施，可以降低污染土壤的风险，包括但不限于：(1)当使用特殊包装时，放置包装的区域同时保留防渗下垫面；(2)定期的监测和其他措施防止泄漏等。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（四）生产加工装置</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生产加工装置一般包括密闭和开放、半开放类型，密闭处理装置污染土壤的风险低于开放、半开放式处理装置。</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1.密闭处理装置</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密闭的生产加工装置(如封闭反应釜，反应塔等)主要通过管道进行填充和排空，封闭系统中所涉及的物料在正常情况下一般不会泄漏。密闭反应容器一般没有抽出口和容器检查孔等设计，焊接的管道也不设计法兰，只有在封闭系统破损时才容易发生泄漏导致土壤污染。</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采用以下设计和建设，可以降低污染土壤的风险，包括但不限于：(1)采用全封闭式的设计；(2)将加工过程置于封闭的防渗设施中；(3)具有防雨和防渗设施设备；(4)具有系统检测装置等。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采用以下运行管理措施，可以降低污染土壤的风险，包括但不限于：(1)定期进行密闭系统检测；(2)具有系统维护程序等</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2.开放、半开放处理设施设备</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生产活动中涉及的过滤，挤压，浇铸，干燥，消音，加热，冷却，自动填充，加药和称重等活动属于半开放处理系统，其在填充或排空时需要打开。而喷涂和喷射活动一般在开放性区域进行处理，开放性区域的活动还包括直接位于未铺装地面上的物料运输、临时存储和洗车等。这种系统需要通过具体的措施来防止物质扩散到环境中。</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采用以下设计和建设可以降低污染土壤的风险，包括但不限于：(1)整个活动在防渗设施中完成；(2)在围堰和防渗地板上进行物质收集；(3)有防雨水和防淋滤的措施；(4)应急情况下具有清理设备等。</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rPr>
        <w:t>采用以下运行管理措施，可以降低污染土壤的风险，包括但不限于：(1)定期进行防渗检测；(2)具有完善的日常管理措施等。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（五）其它活动</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工业企业生产过程中的污水收集、处理与排放、固体废物堆放、紧急收集装置、车间的临时储存和处理等活动都可能造成土壤污染，其中污水处理区和固体废物堆放点通常是企业土壤污染排查的重点区域。</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1.污水收集、处理与排放</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工业企业污水处理区通常是一个独立单元。污水处理系统可以被认为是各种管道的集合，任何非规范性的设计、材料、设施和操作管理，都可能造成土壤污染。污水处理系统位于地上时，可参照管道的相关要求进行排查。当存在地下污水管道时，容易加大污染土壤的风险。</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在污水收集、处理与排放过程中可以降低污染土壤的风险，包括但不限于：(1)污水收集、处理与排放的地下管道具有防渗认证，材料和施工符合技术规范要求；(2)具有污泥防渗、收集和处置等设施；(3)污泥处理处置符合环境管理要求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采用以下运行管理措施，可以降低污染土壤的风险。包括但不限于：(1)定期进行排放监测；(2)定期进行管线检查；(3)具有符合国家相关要求的污泥管理措施；(4)完善的应急管理措施等。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2.固体废物堆放</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采用以下设计和建设，可以降低固体废物堆放导致的土壤污染风险，包括但不限于：(1)固体废物集中收集在密闭防渗空间；(2)具有防雨和防渗设施；(3)具有墙壁和屋顶防止随风扩散等。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采用以下运行管理措施，可以降低污染土壤的风险，包括但不限于：(1)定期检查固体废物堆放点的防雨、防渗和防扩散措施；(2)具有完备的档案记录和管理措施等。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3.紧急收集装置</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在紧急情况下会使用到专门用于应急的地下封闭储罐和地表储罐等设施设备。因为储罐在大部分时间内是空的，罐体材料将腐蚀得更快(主要在内部)。</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污染土壤的风险，包括但不限于：(1)紧急收集装置具有防腐设计，内部有防腐涂层；(2)给紧急收集装置配置泄漏检测装置；(3)在装置外部配置阴极保护系统；等。采用以下运行管理措施，可以降低紧急收集装置污染土壤的风险，包括但不限于：</w:t>
      </w:r>
      <w:r>
        <w:rPr>
          <w:rFonts w:hint="default" w:ascii="Times New Roman" w:hAnsi="Times New Roman" w:cs="Times New Roman"/>
          <w:color w:val="auto"/>
          <w:sz w:val="28"/>
          <w:szCs w:val="28"/>
          <w:highlight w:val="none"/>
        </w:rPr>
        <w:t>应急灌装期间具备</w:t>
      </w:r>
      <w:r>
        <w:rPr>
          <w:rFonts w:hint="default" w:ascii="Times New Roman" w:hAnsi="Times New Roman" w:cs="Times New Roman"/>
          <w:sz w:val="28"/>
          <w:szCs w:val="28"/>
          <w:highlight w:val="none"/>
        </w:rPr>
        <w:t>有效的监督措施等。</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4.车间活动</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企业生产车间常进行一些临时存储和处理活动，储存物料包括固体废物、化学废料、燃料、清洁剂、液压油或其它用途的油料等。车间活动越频繁，溢出的频率越高，越容易造成土壤污染。</w:t>
      </w:r>
      <w:r>
        <w:rPr>
          <w:rFonts w:hint="default" w:ascii="Times New Roman" w:hAnsi="Times New Roman" w:cs="Times New Roman"/>
          <w:sz w:val="28"/>
          <w:szCs w:val="28"/>
          <w:highlight w:val="none"/>
        </w:rPr>
        <w:br w:type="textWrapping"/>
      </w:r>
      <w:r>
        <w:rPr>
          <w:rFonts w:hint="default" w:ascii="Times New Roman" w:hAnsi="Times New Roman" w:cs="Times New Roman"/>
          <w:sz w:val="28"/>
          <w:szCs w:val="28"/>
          <w:highlight w:val="none"/>
        </w:rPr>
        <w:t>　　采用以下设计和建设，可以降低污染土壤的风险，包括但不限于：(1)车间铺有水泥防渗地面；(2)车床、液压机和储存箱下方设有油滴收集盘；(3)对于储存罐体有防渗漏检测装置；等。采取以下运行管理措施，可以降低车间活动造成土壤污染的风险，包括但不限于：(1)有定期的渗漏和溢出收集及监测；(2)对车间活动有完善的日常监管措施等</w:t>
      </w:r>
      <w:r>
        <w:rPr>
          <w:rFonts w:hint="default" w:ascii="Times New Roman" w:hAnsi="Times New Roman" w:cs="Times New Roman"/>
          <w:sz w:val="28"/>
          <w:szCs w:val="28"/>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highlight w:val="none"/>
        </w:rPr>
      </w:pPr>
      <w:r>
        <w:rPr>
          <w:rFonts w:hint="eastAsia" w:ascii="Times New Roman" w:hAnsi="Times New Roman" w:cs="Times New Roman"/>
          <w:sz w:val="28"/>
          <w:szCs w:val="28"/>
          <w:highlight w:val="none"/>
          <w:lang w:eastAsia="zh-CN"/>
        </w:rPr>
        <w:t>安阳九久化学科技有限公司</w:t>
      </w:r>
      <w:r>
        <w:rPr>
          <w:rFonts w:hint="default" w:ascii="Times New Roman" w:hAnsi="Times New Roman" w:cs="Times New Roman"/>
          <w:sz w:val="28"/>
          <w:szCs w:val="28"/>
          <w:highlight w:val="none"/>
        </w:rPr>
        <w:t>土壤和地下水污染隐患排查对象见表</w:t>
      </w:r>
      <w:r>
        <w:rPr>
          <w:rFonts w:hint="default" w:ascii="Times New Roman" w:hAnsi="Times New Roman" w:cs="Times New Roman"/>
          <w:sz w:val="28"/>
          <w:szCs w:val="28"/>
          <w:highlight w:val="none"/>
          <w:lang w:val="en-US" w:eastAsia="zh-CN"/>
        </w:rPr>
        <w:t>3-1</w:t>
      </w:r>
      <w:r>
        <w:rPr>
          <w:rFonts w:hint="default" w:ascii="Times New Roman" w:hAnsi="Times New Roman" w:cs="Times New Roman"/>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firstLine="482"/>
        <w:jc w:val="center"/>
        <w:textAlignment w:val="auto"/>
        <w:rPr>
          <w:rFonts w:hint="default" w:ascii="Times New Roman" w:hAnsi="Times New Roman" w:cs="Times New Roman"/>
          <w:b/>
          <w:bCs/>
          <w:sz w:val="24"/>
          <w:highlight w:val="none"/>
        </w:rPr>
      </w:pPr>
      <w:r>
        <w:rPr>
          <w:rFonts w:hint="default" w:ascii="Times New Roman" w:hAnsi="Times New Roman" w:cs="Times New Roman"/>
          <w:b/>
          <w:bCs/>
          <w:sz w:val="24"/>
          <w:highlight w:val="none"/>
        </w:rPr>
        <w:t>表</w:t>
      </w:r>
      <w:r>
        <w:rPr>
          <w:rFonts w:hint="default" w:ascii="Times New Roman" w:hAnsi="Times New Roman" w:cs="Times New Roman"/>
          <w:b/>
          <w:bCs/>
          <w:sz w:val="24"/>
          <w:highlight w:val="none"/>
          <w:lang w:val="en-US" w:eastAsia="zh-CN"/>
        </w:rPr>
        <w:t>3-1</w:t>
      </w:r>
      <w:r>
        <w:rPr>
          <w:rFonts w:hint="default" w:ascii="Times New Roman" w:hAnsi="Times New Roman" w:cs="Times New Roman"/>
          <w:b/>
          <w:bCs/>
          <w:sz w:val="24"/>
          <w:highlight w:val="none"/>
        </w:rPr>
        <w:t xml:space="preserve"> </w:t>
      </w:r>
      <w:r>
        <w:rPr>
          <w:rFonts w:hint="default" w:ascii="Times New Roman" w:hAnsi="Times New Roman" w:cs="Times New Roman"/>
          <w:b/>
          <w:bCs/>
          <w:sz w:val="24"/>
          <w:highlight w:val="none"/>
          <w:lang w:val="en-US" w:eastAsia="zh-CN"/>
        </w:rPr>
        <w:t xml:space="preserve"> </w:t>
      </w:r>
      <w:r>
        <w:rPr>
          <w:rFonts w:hint="default" w:ascii="Times New Roman" w:hAnsi="Times New Roman" w:cs="Times New Roman"/>
          <w:b/>
          <w:bCs/>
          <w:sz w:val="24"/>
          <w:highlight w:val="none"/>
        </w:rPr>
        <w:t>排查对象一览表</w:t>
      </w:r>
    </w:p>
    <w:tbl>
      <w:tblPr>
        <w:tblStyle w:val="21"/>
        <w:tblW w:w="92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7"/>
        <w:gridCol w:w="952"/>
        <w:gridCol w:w="1771"/>
        <w:gridCol w:w="1260"/>
        <w:gridCol w:w="1785"/>
        <w:gridCol w:w="1534"/>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3260" w:type="dxa"/>
            <w:gridSpan w:val="3"/>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项 目</w:t>
            </w:r>
          </w:p>
        </w:tc>
        <w:tc>
          <w:tcPr>
            <w:tcW w:w="1260"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治理措施</w:t>
            </w:r>
          </w:p>
        </w:tc>
        <w:tc>
          <w:tcPr>
            <w:tcW w:w="178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设施或设备数量</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规格或型号</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eastAsia"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废气</w:t>
            </w:r>
          </w:p>
        </w:tc>
        <w:tc>
          <w:tcPr>
            <w:tcW w:w="952"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w:t>
            </w:r>
          </w:p>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装置</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焦亚硫酸钠合成尾气</w:t>
            </w:r>
          </w:p>
        </w:tc>
        <w:tc>
          <w:tcPr>
            <w:tcW w:w="1260"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二级碱吸收后排放。</w:t>
            </w:r>
          </w:p>
        </w:tc>
        <w:tc>
          <w:tcPr>
            <w:tcW w:w="1785"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一级尾气洗涤塔1台、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级尾气洗涤塔1台</w:t>
            </w:r>
          </w:p>
        </w:tc>
        <w:tc>
          <w:tcPr>
            <w:tcW w:w="1534" w:type="dxa"/>
            <w:noWrap w:val="0"/>
            <w:vAlign w:val="center"/>
          </w:tcPr>
          <w:p>
            <w:pPr>
              <w:widowControl w:val="0"/>
              <w:adjustRightInd/>
              <w:snapToGrid/>
              <w:spacing w:line="240" w:lineRule="exact"/>
              <w:ind w:firstLine="0" w:firstLineChars="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内径：2000mm </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长高：7500mm</w:t>
            </w:r>
          </w:p>
          <w:p>
            <w:pPr>
              <w:widowControl w:val="0"/>
              <w:adjustRightInd/>
              <w:snapToGrid/>
              <w:spacing w:line="240" w:lineRule="exact"/>
              <w:ind w:firstLine="0" w:firstLineChars="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内径：2000mm </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长高：7500mm</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default" w:ascii="Times New Roman" w:hAnsi="Times New Roman" w:eastAsia="宋体" w:cs="Times New Roman"/>
                <w:snapToGrid w:val="0"/>
                <w:color w:val="00000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焦亚硫酸钠干燥尾气</w:t>
            </w:r>
          </w:p>
        </w:tc>
        <w:tc>
          <w:tcPr>
            <w:tcW w:w="1260"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二级碱吸收后排放。</w:t>
            </w:r>
          </w:p>
        </w:tc>
        <w:tc>
          <w:tcPr>
            <w:tcW w:w="1785"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一级干燥洗涤塔1台、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级干燥洗涤塔1台</w:t>
            </w:r>
          </w:p>
        </w:tc>
        <w:tc>
          <w:tcPr>
            <w:tcW w:w="1534" w:type="dxa"/>
            <w:noWrap w:val="0"/>
            <w:vAlign w:val="center"/>
          </w:tcPr>
          <w:p>
            <w:pPr>
              <w:widowControl w:val="0"/>
              <w:adjustRightInd/>
              <w:snapToGrid/>
              <w:spacing w:line="240" w:lineRule="exact"/>
              <w:ind w:firstLine="0" w:firstLineChars="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内径：2400mm </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长高：8040mm</w:t>
            </w:r>
          </w:p>
          <w:p>
            <w:pPr>
              <w:widowControl w:val="0"/>
              <w:adjustRightInd/>
              <w:snapToGrid/>
              <w:spacing w:line="240" w:lineRule="exact"/>
              <w:ind w:firstLine="0" w:firstLineChars="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内径：2400mm </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长高：8800mm</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default" w:ascii="Times New Roman" w:hAnsi="Times New Roman" w:eastAsia="宋体" w:cs="Times New Roman"/>
                <w:snapToGrid w:val="0"/>
                <w:color w:val="00000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焦亚包装废气</w:t>
            </w:r>
          </w:p>
        </w:tc>
        <w:tc>
          <w:tcPr>
            <w:tcW w:w="1260"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布袋除尘</w:t>
            </w:r>
          </w:p>
        </w:tc>
        <w:tc>
          <w:tcPr>
            <w:tcW w:w="178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袋式除尘器1台</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bCs/>
                <w:kern w:val="2"/>
                <w:sz w:val="21"/>
                <w:szCs w:val="21"/>
              </w:rPr>
              <w:t>风量2000m</w:t>
            </w:r>
            <w:r>
              <w:rPr>
                <w:rFonts w:hint="default" w:ascii="Times New Roman" w:hAnsi="Times New Roman" w:eastAsia="宋体" w:cs="Times New Roman"/>
                <w:bCs/>
                <w:kern w:val="2"/>
                <w:sz w:val="21"/>
                <w:szCs w:val="21"/>
                <w:vertAlign w:val="superscript"/>
              </w:rPr>
              <w:t>3</w:t>
            </w:r>
            <w:r>
              <w:rPr>
                <w:rFonts w:hint="default" w:ascii="Times New Roman" w:hAnsi="Times New Roman" w:eastAsia="宋体" w:cs="Times New Roman"/>
                <w:bCs/>
                <w:kern w:val="2"/>
                <w:sz w:val="21"/>
                <w:szCs w:val="21"/>
              </w:rPr>
              <w:t>/h</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default" w:ascii="Times New Roman" w:hAnsi="Times New Roman" w:eastAsia="宋体" w:cs="Times New Roman"/>
                <w:snapToGrid w:val="0"/>
                <w:color w:val="00000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保险粉合成尾气</w:t>
            </w:r>
          </w:p>
        </w:tc>
        <w:tc>
          <w:tcPr>
            <w:tcW w:w="1260" w:type="dxa"/>
            <w:noWrap w:val="0"/>
            <w:vAlign w:val="center"/>
          </w:tcPr>
          <w:p>
            <w:pPr>
              <w:widowControl w:val="0"/>
              <w:tabs>
                <w:tab w:val="left" w:pos="1680"/>
                <w:tab w:val="left" w:pos="3465"/>
              </w:tabs>
              <w:adjustRightInd w:val="0"/>
              <w:snapToGrid w:val="0"/>
              <w:spacing w:line="300" w:lineRule="exact"/>
              <w:ind w:firstLine="0" w:firstLineChars="0"/>
              <w:jc w:val="left"/>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冷甲醇吸收+二级碱吸收</w:t>
            </w:r>
          </w:p>
        </w:tc>
        <w:tc>
          <w:tcPr>
            <w:tcW w:w="1785"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合成尾气甲醇吸收塔2台、一级合成尾气碱水吸收塔2台、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级合成尾气碱水吸收塔2台</w:t>
            </w:r>
          </w:p>
        </w:tc>
        <w:tc>
          <w:tcPr>
            <w:tcW w:w="1534"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DN1800×7200、</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DN1800×7200、</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DN1800×7200</w:t>
            </w:r>
          </w:p>
        </w:tc>
        <w:tc>
          <w:tcPr>
            <w:tcW w:w="1406" w:type="dxa"/>
            <w:vMerge w:val="restart"/>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部分汇集于气柜回用，余去安化锅炉焚烧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压缩输送物料尾气</w:t>
            </w:r>
          </w:p>
        </w:tc>
        <w:tc>
          <w:tcPr>
            <w:tcW w:w="1260"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二级碱吸收</w:t>
            </w:r>
          </w:p>
        </w:tc>
        <w:tc>
          <w:tcPr>
            <w:tcW w:w="1785"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一级尾气碱水吸收塔2台、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级尾气碱水吸收塔2台</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DN1800×7200、</w:t>
            </w:r>
          </w:p>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DN1800×7200</w:t>
            </w:r>
          </w:p>
        </w:tc>
        <w:tc>
          <w:tcPr>
            <w:tcW w:w="1406"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保险粉包装废气</w:t>
            </w:r>
          </w:p>
        </w:tc>
        <w:tc>
          <w:tcPr>
            <w:tcW w:w="1260"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布袋除尘</w:t>
            </w:r>
          </w:p>
        </w:tc>
        <w:tc>
          <w:tcPr>
            <w:tcW w:w="178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袋式除尘器2台</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bCs/>
                <w:kern w:val="2"/>
                <w:sz w:val="21"/>
                <w:szCs w:val="21"/>
              </w:rPr>
              <w:t>风量2000m</w:t>
            </w:r>
            <w:r>
              <w:rPr>
                <w:rFonts w:hint="default" w:ascii="Times New Roman" w:hAnsi="Times New Roman" w:eastAsia="宋体" w:cs="Times New Roman"/>
                <w:bCs/>
                <w:kern w:val="2"/>
                <w:sz w:val="21"/>
                <w:szCs w:val="21"/>
                <w:vertAlign w:val="superscript"/>
              </w:rPr>
              <w:t>3</w:t>
            </w:r>
            <w:r>
              <w:rPr>
                <w:rFonts w:hint="default" w:ascii="Times New Roman" w:hAnsi="Times New Roman" w:eastAsia="宋体" w:cs="Times New Roman"/>
                <w:bCs/>
                <w:kern w:val="2"/>
                <w:sz w:val="21"/>
                <w:szCs w:val="21"/>
              </w:rPr>
              <w:t>/h</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lang w:val="en-US" w:eastAsia="zh-CN"/>
              </w:rPr>
            </w:pPr>
            <w:r>
              <w:rPr>
                <w:rFonts w:hint="default" w:ascii="Times New Roman" w:hAnsi="Times New Roman" w:eastAsia="宋体" w:cs="Times New Roman"/>
                <w:snapToGrid w:val="0"/>
                <w:color w:val="FF0000"/>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排放气</w:t>
            </w:r>
          </w:p>
        </w:tc>
        <w:tc>
          <w:tcPr>
            <w:tcW w:w="1260"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78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去安化锅炉焚烧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left"/>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保险粉、亚硫酸钠、回收甲酸钠真空干燥及精馏残液的真空尾气</w:t>
            </w:r>
          </w:p>
        </w:tc>
        <w:tc>
          <w:tcPr>
            <w:tcW w:w="1260"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left"/>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2"/>
                <w:sz w:val="21"/>
                <w:szCs w:val="21"/>
              </w:rPr>
              <w:t>二级碱吸收</w:t>
            </w:r>
          </w:p>
        </w:tc>
        <w:tc>
          <w:tcPr>
            <w:tcW w:w="1785"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一级真空尾气碱水吸收塔2台、</w:t>
            </w:r>
            <w:r>
              <w:rPr>
                <w:rFonts w:hint="default" w:ascii="Times New Roman" w:hAnsi="Times New Roman" w:eastAsia="宋体" w:cs="Times New Roman"/>
                <w:snapToGrid w:val="0"/>
                <w:color w:val="000000"/>
                <w:kern w:val="2"/>
                <w:sz w:val="21"/>
                <w:szCs w:val="21"/>
              </w:rPr>
              <w:t>二</w:t>
            </w:r>
            <w:r>
              <w:rPr>
                <w:rFonts w:hint="default" w:ascii="Times New Roman" w:hAnsi="Times New Roman" w:eastAsia="宋体" w:cs="Times New Roman"/>
                <w:kern w:val="2"/>
                <w:sz w:val="21"/>
                <w:szCs w:val="21"/>
              </w:rPr>
              <w:t>级真空尾气碱水吸收塔2台</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DN1800×7200</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t>
            </w:r>
          </w:p>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DN1800×7200</w:t>
            </w:r>
          </w:p>
        </w:tc>
        <w:tc>
          <w:tcPr>
            <w:tcW w:w="1406"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2"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left"/>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排放气和经处理的保险粉、亚硫酸钠、回收甲酸钠真空干燥及精馏残液的真空尾气</w:t>
            </w:r>
          </w:p>
        </w:tc>
        <w:tc>
          <w:tcPr>
            <w:tcW w:w="1260"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785"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去安化锅炉焚烧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u w:val="none"/>
              </w:rPr>
            </w:pPr>
            <w:r>
              <w:rPr>
                <w:rFonts w:hint="default" w:ascii="Times New Roman" w:hAnsi="Times New Roman" w:eastAsia="宋体" w:cs="Times New Roman"/>
                <w:snapToGrid w:val="0"/>
                <w:color w:val="000000"/>
                <w:kern w:val="2"/>
                <w:sz w:val="21"/>
                <w:szCs w:val="21"/>
                <w:u w:val="none"/>
              </w:rPr>
              <w:t>污水站及事故池</w:t>
            </w:r>
          </w:p>
        </w:tc>
        <w:tc>
          <w:tcPr>
            <w:tcW w:w="6350" w:type="dxa"/>
            <w:gridSpan w:val="4"/>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u w:val="none"/>
              </w:rPr>
            </w:pPr>
            <w:r>
              <w:rPr>
                <w:rFonts w:hint="default" w:ascii="Times New Roman" w:hAnsi="Times New Roman" w:eastAsia="宋体" w:cs="Times New Roman"/>
                <w:bCs/>
                <w:kern w:val="2"/>
                <w:sz w:val="21"/>
                <w:szCs w:val="21"/>
                <w:u w:val="none"/>
              </w:rPr>
              <w:t>生产废水调节池、芬顿氧化池、中和反应池、水解酸化池、脱硫沉降池、缓冲调节池、一级AO池、二级AO池等加玻璃钢顶棚封闭、事故池加盖封闭后，经引风汇入保险粉合成尾气等混合废气总管道</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u w:val="none"/>
              </w:rPr>
            </w:pPr>
            <w:r>
              <w:rPr>
                <w:rFonts w:hint="default" w:ascii="Times New Roman" w:hAnsi="Times New Roman" w:eastAsia="宋体" w:cs="Times New Roman"/>
                <w:snapToGrid w:val="0"/>
                <w:color w:val="000000"/>
                <w:kern w:val="2"/>
                <w:sz w:val="21"/>
                <w:szCs w:val="21"/>
                <w:u w:val="none"/>
              </w:rPr>
              <w:t>去安化锅炉焚烧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废水</w:t>
            </w:r>
          </w:p>
        </w:tc>
        <w:tc>
          <w:tcPr>
            <w:tcW w:w="952"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w:t>
            </w:r>
          </w:p>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装置</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焦亚硫酸钠合成尾气吸收水</w:t>
            </w:r>
          </w:p>
        </w:tc>
        <w:tc>
          <w:tcPr>
            <w:tcW w:w="1260"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回用配制碳酸钠钠溶液</w:t>
            </w:r>
          </w:p>
        </w:tc>
        <w:tc>
          <w:tcPr>
            <w:tcW w:w="1785"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焦亚硫酸钠干燥尾气吸收水</w:t>
            </w:r>
          </w:p>
        </w:tc>
        <w:tc>
          <w:tcPr>
            <w:tcW w:w="1260"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回用配制碳酸钠钠溶液</w:t>
            </w:r>
          </w:p>
        </w:tc>
        <w:tc>
          <w:tcPr>
            <w:tcW w:w="1785"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left"/>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回收甲醇残液蒸发冷凝</w:t>
            </w:r>
          </w:p>
        </w:tc>
        <w:tc>
          <w:tcPr>
            <w:tcW w:w="1260"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部分回用配制氢氧化钠溶液，余去项目污水处理站</w:t>
            </w:r>
          </w:p>
        </w:tc>
        <w:tc>
          <w:tcPr>
            <w:tcW w:w="1785" w:type="dxa"/>
            <w:vMerge w:val="restart"/>
            <w:noWrap w:val="0"/>
            <w:vAlign w:val="center"/>
          </w:tcPr>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氧化+微电解+混凝沉淀+脱硫+生化处理</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高级氧化池 1座</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微电解装置 1套</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中和混凝反应池1座</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rPr>
              <w:t>水解酸化池</w:t>
            </w:r>
            <w:r>
              <w:rPr>
                <w:rFonts w:hint="default" w:ascii="Times New Roman" w:hAnsi="Times New Roman" w:eastAsia="宋体" w:cs="Times New Roman"/>
                <w:color w:val="000000"/>
                <w:kern w:val="2"/>
                <w:sz w:val="21"/>
                <w:szCs w:val="21"/>
              </w:rPr>
              <w:t>1座</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rPr>
              <w:t xml:space="preserve">水解脱硫反应沉降池  </w:t>
            </w:r>
            <w:r>
              <w:rPr>
                <w:rFonts w:hint="default" w:ascii="Times New Roman" w:hAnsi="Times New Roman" w:eastAsia="宋体" w:cs="Times New Roman"/>
                <w:color w:val="000000"/>
                <w:kern w:val="2"/>
                <w:sz w:val="21"/>
                <w:szCs w:val="21"/>
              </w:rPr>
              <w:t>1座</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rPr>
              <w:t>一级</w:t>
            </w:r>
            <w:r>
              <w:rPr>
                <w:rFonts w:hint="default" w:ascii="Times New Roman" w:hAnsi="Times New Roman" w:eastAsia="宋体" w:cs="Times New Roman"/>
                <w:kern w:val="2"/>
                <w:sz w:val="21"/>
                <w:szCs w:val="21"/>
              </w:rPr>
              <w:t>UASB反应器</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1座</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rPr>
              <w:t>二级</w:t>
            </w:r>
            <w:r>
              <w:rPr>
                <w:rFonts w:hint="default" w:ascii="Times New Roman" w:hAnsi="Times New Roman" w:eastAsia="宋体" w:cs="Times New Roman"/>
                <w:kern w:val="2"/>
                <w:sz w:val="21"/>
                <w:szCs w:val="21"/>
              </w:rPr>
              <w:t>UASB反应器</w:t>
            </w:r>
          </w:p>
          <w:p>
            <w:pPr>
              <w:widowControl w:val="0"/>
              <w:tabs>
                <w:tab w:val="left" w:pos="1680"/>
                <w:tab w:val="left" w:pos="3465"/>
              </w:tabs>
              <w:adjustRightInd w:val="0"/>
              <w:snapToGrid w:val="0"/>
              <w:spacing w:line="24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1座</w:t>
            </w:r>
          </w:p>
        </w:tc>
        <w:tc>
          <w:tcPr>
            <w:tcW w:w="1534" w:type="dxa"/>
            <w:vMerge w:val="restart"/>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color w:val="000000"/>
                <w:kern w:val="2"/>
                <w:sz w:val="21"/>
                <w:szCs w:val="21"/>
              </w:rPr>
            </w:pP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8×4×3m</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Ф3.2×7m</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1×5×5m</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color w:val="000000"/>
                <w:kern w:val="2"/>
                <w:sz w:val="21"/>
                <w:szCs w:val="21"/>
              </w:rPr>
            </w:pP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2-5×8×5m</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5×7×5m</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kern w:val="2"/>
                <w:sz w:val="21"/>
                <w:szCs w:val="21"/>
              </w:rPr>
            </w:pP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Ф10×12</w:t>
            </w:r>
            <w:r>
              <w:rPr>
                <w:rFonts w:hint="default" w:ascii="Times New Roman" w:hAnsi="Times New Roman" w:eastAsia="宋体" w:cs="Times New Roman"/>
                <w:color w:val="000000"/>
                <w:kern w:val="2"/>
                <w:sz w:val="21"/>
                <w:szCs w:val="21"/>
              </w:rPr>
              <w:t>m</w:t>
            </w: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kern w:val="2"/>
                <w:sz w:val="21"/>
                <w:szCs w:val="21"/>
              </w:rPr>
            </w:pPr>
          </w:p>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kern w:val="2"/>
                <w:sz w:val="21"/>
                <w:szCs w:val="21"/>
              </w:rPr>
              <w:t>Ф10×10</w:t>
            </w:r>
            <w:r>
              <w:rPr>
                <w:rFonts w:hint="default" w:ascii="Times New Roman" w:hAnsi="Times New Roman" w:eastAsia="宋体" w:cs="Times New Roman"/>
                <w:color w:val="000000"/>
                <w:kern w:val="2"/>
                <w:sz w:val="21"/>
                <w:szCs w:val="21"/>
              </w:rPr>
              <w:t>m</w:t>
            </w:r>
          </w:p>
        </w:tc>
        <w:tc>
          <w:tcPr>
            <w:tcW w:w="1406" w:type="dxa"/>
            <w:vMerge w:val="restart"/>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经项目污水处理站处理后，排放至安化污水处理终端进一步处理，达标排放。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回用压缩气冷</w:t>
            </w:r>
          </w:p>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干液</w:t>
            </w:r>
          </w:p>
        </w:tc>
        <w:tc>
          <w:tcPr>
            <w:tcW w:w="1260" w:type="dxa"/>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去项目污水处理站。</w:t>
            </w:r>
          </w:p>
        </w:tc>
        <w:tc>
          <w:tcPr>
            <w:tcW w:w="1785"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534"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406"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合成尾气碱吸收液</w:t>
            </w:r>
          </w:p>
        </w:tc>
        <w:tc>
          <w:tcPr>
            <w:tcW w:w="1260" w:type="dxa"/>
            <w:vMerge w:val="restart"/>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返回中和，回收亚硫酸钠、</w:t>
            </w:r>
            <w:r>
              <w:rPr>
                <w:rFonts w:hint="default" w:ascii="Times New Roman" w:hAnsi="Times New Roman" w:eastAsia="宋体" w:cs="Times New Roman"/>
                <w:snapToGrid w:val="0"/>
                <w:color w:val="000000"/>
                <w:kern w:val="0"/>
                <w:sz w:val="21"/>
                <w:szCs w:val="21"/>
                <w:lang w:val="zh-CN"/>
              </w:rPr>
              <w:t>甲酸钠、甲醇</w:t>
            </w:r>
            <w:r>
              <w:rPr>
                <w:rFonts w:hint="default" w:ascii="Times New Roman" w:hAnsi="Times New Roman" w:eastAsia="宋体" w:cs="Times New Roman"/>
                <w:snapToGrid w:val="0"/>
                <w:color w:val="000000"/>
                <w:kern w:val="2"/>
                <w:sz w:val="21"/>
                <w:szCs w:val="21"/>
              </w:rPr>
              <w:t>。</w:t>
            </w:r>
          </w:p>
        </w:tc>
        <w:tc>
          <w:tcPr>
            <w:tcW w:w="1785"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压缩输送物料</w:t>
            </w:r>
          </w:p>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碱吸收液</w:t>
            </w:r>
          </w:p>
        </w:tc>
        <w:tc>
          <w:tcPr>
            <w:tcW w:w="1260" w:type="dxa"/>
            <w:vMerge w:val="continue"/>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p>
        </w:tc>
        <w:tc>
          <w:tcPr>
            <w:tcW w:w="1785"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真空干燥尾气</w:t>
            </w:r>
          </w:p>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碱吸收液</w:t>
            </w:r>
          </w:p>
        </w:tc>
        <w:tc>
          <w:tcPr>
            <w:tcW w:w="1260" w:type="dxa"/>
            <w:vMerge w:val="continue"/>
            <w:noWrap w:val="0"/>
            <w:vAlign w:val="center"/>
          </w:tcPr>
          <w:p>
            <w:pPr>
              <w:widowControl w:val="0"/>
              <w:tabs>
                <w:tab w:val="left" w:pos="1680"/>
                <w:tab w:val="left" w:pos="3465"/>
              </w:tabs>
              <w:adjustRightInd w:val="0"/>
              <w:snapToGrid w:val="0"/>
              <w:spacing w:line="300" w:lineRule="exact"/>
              <w:ind w:firstLine="0" w:firstLineChars="0"/>
              <w:textAlignment w:val="baseline"/>
              <w:rPr>
                <w:rFonts w:hint="default" w:ascii="Times New Roman" w:hAnsi="Times New Roman" w:eastAsia="宋体" w:cs="Times New Roman"/>
                <w:snapToGrid w:val="0"/>
                <w:color w:val="000000"/>
                <w:kern w:val="2"/>
                <w:sz w:val="21"/>
                <w:szCs w:val="21"/>
              </w:rPr>
            </w:pPr>
          </w:p>
        </w:tc>
        <w:tc>
          <w:tcPr>
            <w:tcW w:w="1785" w:type="dxa"/>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w:t>
            </w:r>
          </w:p>
        </w:tc>
        <w:tc>
          <w:tcPr>
            <w:tcW w:w="1534"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37"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固废</w:t>
            </w:r>
          </w:p>
        </w:tc>
        <w:tc>
          <w:tcPr>
            <w:tcW w:w="952"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液体二氧化硫生产装置</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3</w:t>
            </w:r>
            <w:r>
              <w:rPr>
                <w:rFonts w:hint="default" w:ascii="Times New Roman" w:hAnsi="Times New Roman" w:eastAsia="宋体" w:cs="Times New Roman"/>
                <w:snapToGrid w:val="0"/>
                <w:color w:val="000000"/>
                <w:kern w:val="2"/>
                <w:sz w:val="21"/>
                <w:szCs w:val="21"/>
              </w:rPr>
              <w:t>发生S1</w:t>
            </w:r>
          </w:p>
        </w:tc>
        <w:tc>
          <w:tcPr>
            <w:tcW w:w="1260" w:type="dxa"/>
            <w:vMerge w:val="restart"/>
            <w:noWrap w:val="0"/>
            <w:vAlign w:val="center"/>
          </w:tcPr>
          <w:p>
            <w:pPr>
              <w:widowControl w:val="0"/>
              <w:tabs>
                <w:tab w:val="left" w:pos="1680"/>
                <w:tab w:val="left" w:pos="3465"/>
              </w:tabs>
              <w:autoSpaceDE w:val="0"/>
              <w:autoSpaceDN w:val="0"/>
              <w:adjustRightInd w:val="0"/>
              <w:snapToGrid w:val="0"/>
              <w:spacing w:line="300" w:lineRule="exact"/>
              <w:ind w:firstLine="0" w:firstLineChars="0"/>
              <w:jc w:val="left"/>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暂存后送具有危废处理资质的单位处理。</w:t>
            </w:r>
          </w:p>
        </w:tc>
        <w:tc>
          <w:tcPr>
            <w:tcW w:w="1785" w:type="dxa"/>
            <w:vMerge w:val="restart"/>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全封闭的危废暂存间1座</w:t>
            </w:r>
          </w:p>
        </w:tc>
        <w:tc>
          <w:tcPr>
            <w:tcW w:w="1534"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20m</w:t>
            </w:r>
            <w:r>
              <w:rPr>
                <w:rFonts w:hint="default" w:ascii="Times New Roman" w:hAnsi="Times New Roman" w:eastAsia="宋体" w:cs="Times New Roman"/>
                <w:snapToGrid w:val="0"/>
                <w:color w:val="000000"/>
                <w:kern w:val="2"/>
                <w:sz w:val="21"/>
                <w:szCs w:val="21"/>
                <w:vertAlign w:val="superscript"/>
              </w:rPr>
              <w:t>2</w:t>
            </w:r>
          </w:p>
        </w:tc>
        <w:tc>
          <w:tcPr>
            <w:tcW w:w="1406" w:type="dxa"/>
            <w:vMerge w:val="restart"/>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hint="default" w:ascii="Times New Roman" w:hAnsi="Times New Roman" w:eastAsia="宋体" w:cs="Times New Roman"/>
                <w:snapToGrid w:val="0"/>
                <w:color w:val="000000"/>
                <w:kern w:val="2"/>
                <w:sz w:val="21"/>
                <w:szCs w:val="21"/>
              </w:rPr>
              <w:t>危废处置合同见附件五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焦亚硫酸钠生产</w:t>
            </w:r>
          </w:p>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装置</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SO</w:t>
            </w:r>
            <w:r>
              <w:rPr>
                <w:rFonts w:hint="default" w:ascii="Times New Roman" w:hAnsi="Times New Roman" w:eastAsia="宋体" w:cs="Times New Roman"/>
                <w:snapToGrid w:val="0"/>
                <w:color w:val="000000"/>
                <w:kern w:val="2"/>
                <w:sz w:val="21"/>
                <w:szCs w:val="21"/>
                <w:vertAlign w:val="subscript"/>
              </w:rPr>
              <w:t>3</w:t>
            </w:r>
            <w:r>
              <w:rPr>
                <w:rFonts w:hint="default" w:ascii="Times New Roman" w:hAnsi="Times New Roman" w:eastAsia="宋体" w:cs="Times New Roman"/>
                <w:snapToGrid w:val="0"/>
                <w:color w:val="000000"/>
                <w:kern w:val="2"/>
                <w:sz w:val="21"/>
                <w:szCs w:val="21"/>
              </w:rPr>
              <w:t>发生S2</w:t>
            </w:r>
          </w:p>
        </w:tc>
        <w:tc>
          <w:tcPr>
            <w:tcW w:w="1260" w:type="dxa"/>
            <w:vMerge w:val="continue"/>
            <w:noWrap w:val="0"/>
            <w:vAlign w:val="center"/>
          </w:tcPr>
          <w:p>
            <w:pPr>
              <w:widowControl w:val="0"/>
              <w:tabs>
                <w:tab w:val="left" w:pos="1680"/>
                <w:tab w:val="left" w:pos="3465"/>
              </w:tabs>
              <w:autoSpaceDE w:val="0"/>
              <w:autoSpaceDN w:val="0"/>
              <w:adjustRightInd w:val="0"/>
              <w:snapToGrid w:val="0"/>
              <w:spacing w:line="300" w:lineRule="exact"/>
              <w:ind w:firstLine="0" w:firstLineChars="0"/>
              <w:jc w:val="left"/>
              <w:textAlignment w:val="baseline"/>
              <w:rPr>
                <w:rFonts w:hint="default" w:ascii="Times New Roman" w:hAnsi="Times New Roman" w:eastAsia="宋体" w:cs="Times New Roman"/>
                <w:snapToGrid w:val="0"/>
                <w:color w:val="000000"/>
                <w:kern w:val="2"/>
                <w:sz w:val="21"/>
                <w:szCs w:val="21"/>
              </w:rPr>
            </w:pPr>
          </w:p>
        </w:tc>
        <w:tc>
          <w:tcPr>
            <w:tcW w:w="1785" w:type="dxa"/>
            <w:vMerge w:val="continue"/>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534"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p>
        </w:tc>
        <w:tc>
          <w:tcPr>
            <w:tcW w:w="1406"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trPr>
        <w:tc>
          <w:tcPr>
            <w:tcW w:w="537"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952"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保险粉生产装置</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napToGrid w:val="0"/>
                <w:color w:val="000000"/>
                <w:kern w:val="2"/>
                <w:sz w:val="21"/>
                <w:szCs w:val="21"/>
              </w:rPr>
              <w:t>蒸发残液S3</w:t>
            </w:r>
          </w:p>
        </w:tc>
        <w:tc>
          <w:tcPr>
            <w:tcW w:w="1260" w:type="dxa"/>
            <w:vMerge w:val="continue"/>
            <w:noWrap w:val="0"/>
            <w:vAlign w:val="center"/>
          </w:tcPr>
          <w:p>
            <w:pPr>
              <w:widowControl w:val="0"/>
              <w:tabs>
                <w:tab w:val="left" w:pos="1680"/>
                <w:tab w:val="left" w:pos="3465"/>
              </w:tabs>
              <w:autoSpaceDE w:val="0"/>
              <w:autoSpaceDN w:val="0"/>
              <w:adjustRightInd w:val="0"/>
              <w:snapToGrid w:val="0"/>
              <w:spacing w:line="300" w:lineRule="exact"/>
              <w:ind w:firstLine="0" w:firstLineChars="0"/>
              <w:jc w:val="left"/>
              <w:textAlignment w:val="baseline"/>
              <w:rPr>
                <w:rFonts w:hint="default" w:ascii="Times New Roman" w:hAnsi="Times New Roman" w:eastAsia="宋体" w:cs="Times New Roman"/>
                <w:snapToGrid w:val="0"/>
                <w:color w:val="000000"/>
                <w:kern w:val="0"/>
                <w:sz w:val="21"/>
                <w:szCs w:val="21"/>
                <w:lang w:val="zh-CN"/>
              </w:rPr>
            </w:pPr>
          </w:p>
        </w:tc>
        <w:tc>
          <w:tcPr>
            <w:tcW w:w="1785" w:type="dxa"/>
            <w:vMerge w:val="continue"/>
            <w:noWrap w:val="0"/>
            <w:vAlign w:val="center"/>
          </w:tcPr>
          <w:p>
            <w:pPr>
              <w:widowControl w:val="0"/>
              <w:tabs>
                <w:tab w:val="left" w:pos="1680"/>
                <w:tab w:val="left" w:pos="3465"/>
              </w:tabs>
              <w:autoSpaceDE w:val="0"/>
              <w:autoSpaceDN w:val="0"/>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p>
        </w:tc>
        <w:tc>
          <w:tcPr>
            <w:tcW w:w="1534"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p>
        </w:tc>
        <w:tc>
          <w:tcPr>
            <w:tcW w:w="1406" w:type="dxa"/>
            <w:vMerge w:val="continue"/>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7" w:hRule="atLeast"/>
        </w:trPr>
        <w:tc>
          <w:tcPr>
            <w:tcW w:w="537"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eastAsia"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罐区</w:t>
            </w:r>
          </w:p>
        </w:tc>
        <w:tc>
          <w:tcPr>
            <w:tcW w:w="952"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各类储罐</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硫酸、盐酸、氢氧化钠、二氧化硫等</w:t>
            </w:r>
          </w:p>
        </w:tc>
        <w:tc>
          <w:tcPr>
            <w:tcW w:w="4579" w:type="dxa"/>
            <w:gridSpan w:val="3"/>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rPr>
            </w:pPr>
            <w:r>
              <w:rPr>
                <w:rFonts w:ascii="Times New Roman" w:cs="Times New Roman" w:hAnsiTheme="minorEastAsia" w:eastAsiaTheme="minorEastAsia"/>
                <w:kern w:val="2"/>
                <w:sz w:val="21"/>
                <w:szCs w:val="21"/>
              </w:rPr>
              <w:t>地面水泥硬化，设置围堰</w:t>
            </w:r>
            <w:r>
              <w:rPr>
                <w:rFonts w:hint="eastAsia" w:ascii="Times New Roman" w:cs="Times New Roman" w:hAnsiTheme="minorEastAsia" w:eastAsiaTheme="minorEastAsia"/>
                <w:kern w:val="2"/>
                <w:sz w:val="21"/>
                <w:szCs w:val="21"/>
              </w:rPr>
              <w:t>，</w:t>
            </w:r>
            <w:r>
              <w:rPr>
                <w:rFonts w:hint="eastAsia" w:ascii="Times New Roman" w:cs="Times New Roman" w:hAnsiTheme="minorEastAsia" w:eastAsiaTheme="minorEastAsia"/>
                <w:kern w:val="2"/>
                <w:sz w:val="21"/>
                <w:szCs w:val="21"/>
                <w:lang w:val="en-US" w:eastAsia="zh-CN"/>
              </w:rPr>
              <w:t>设置遗漏收集装置</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eastAsia" w:ascii="Times New Roman" w:hAnsi="Times New Roman" w:eastAsia="宋体" w:cs="Times New Roman"/>
                <w:snapToGrid w:val="0"/>
                <w:color w:val="auto"/>
                <w:kern w:val="2"/>
                <w:sz w:val="21"/>
                <w:szCs w:val="21"/>
                <w:lang w:val="en-US" w:eastAsia="zh-CN"/>
              </w:rPr>
            </w:pPr>
            <w:r>
              <w:rPr>
                <w:rFonts w:hint="eastAsia" w:ascii="Times New Roman" w:hAnsi="Times New Roman" w:cs="Times New Roman"/>
                <w:snapToGrid w:val="0"/>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1" w:hRule="atLeast"/>
        </w:trPr>
        <w:tc>
          <w:tcPr>
            <w:tcW w:w="537"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事故池</w:t>
            </w:r>
          </w:p>
        </w:tc>
        <w:tc>
          <w:tcPr>
            <w:tcW w:w="952"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lang w:val="en-US" w:eastAsia="zh-CN"/>
              </w:rPr>
            </w:pPr>
            <w:r>
              <w:rPr>
                <w:rFonts w:hint="eastAsia" w:ascii="Times New Roman" w:hAnsi="Times New Roman" w:cs="Times New Roman"/>
                <w:snapToGrid w:val="0"/>
                <w:color w:val="000000"/>
                <w:kern w:val="2"/>
                <w:sz w:val="21"/>
                <w:szCs w:val="21"/>
                <w:lang w:val="en-US" w:eastAsia="zh-CN"/>
              </w:rPr>
              <w:t>地下事故池</w:t>
            </w:r>
          </w:p>
        </w:tc>
        <w:tc>
          <w:tcPr>
            <w:tcW w:w="1771"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000000"/>
                <w:kern w:val="2"/>
                <w:sz w:val="21"/>
                <w:szCs w:val="21"/>
              </w:rPr>
            </w:pPr>
            <w:r>
              <w:rPr>
                <w:rFonts w:hint="default" w:ascii="Times New Roman" w:hAnsi="Times New Roman" w:eastAsia="宋体" w:cs="Times New Roman"/>
                <w:sz w:val="21"/>
                <w:szCs w:val="21"/>
              </w:rPr>
              <w:t>pH、COD、氨氮、BOD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、SS、SO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硫化物</w:t>
            </w:r>
            <w:r>
              <w:rPr>
                <w:rFonts w:hint="default" w:ascii="Times New Roman" w:hAnsi="Times New Roman" w:eastAsia="宋体" w:cs="Times New Roman"/>
                <w:color w:val="auto"/>
                <w:sz w:val="21"/>
                <w:szCs w:val="21"/>
                <w:lang w:val="en-US" w:eastAsia="zh-CN"/>
              </w:rPr>
              <w:t>等</w:t>
            </w:r>
          </w:p>
        </w:tc>
        <w:tc>
          <w:tcPr>
            <w:tcW w:w="4579" w:type="dxa"/>
            <w:gridSpan w:val="3"/>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default" w:ascii="Times New Roman" w:hAnsi="Times New Roman" w:eastAsia="宋体" w:cs="Times New Roman"/>
                <w:snapToGrid w:val="0"/>
                <w:color w:val="FF0000"/>
                <w:kern w:val="2"/>
                <w:sz w:val="21"/>
                <w:szCs w:val="21"/>
                <w:lang w:val="en-US"/>
              </w:rPr>
            </w:pPr>
            <w:r>
              <w:rPr>
                <w:rFonts w:hint="default" w:ascii="Times New Roman" w:hAnsi="Times New Roman" w:eastAsia="宋体" w:cs="Times New Roman"/>
                <w:kern w:val="2"/>
                <w:sz w:val="21"/>
                <w:szCs w:val="21"/>
                <w:lang w:val="en-US" w:eastAsia="zh-CN"/>
              </w:rPr>
              <w:t>四周水泥硬化</w:t>
            </w:r>
            <w:r>
              <w:rPr>
                <w:rFonts w:hint="default" w:ascii="Times New Roman" w:hAnsi="Times New Roman" w:eastAsia="宋体" w:cs="Times New Roman"/>
                <w:kern w:val="2"/>
                <w:sz w:val="21"/>
                <w:szCs w:val="21"/>
                <w:lang w:eastAsia="zh-CN"/>
              </w:rPr>
              <w:t>防渗</w:t>
            </w:r>
            <w:r>
              <w:rPr>
                <w:rFonts w:hint="default" w:ascii="Times New Roman" w:hAnsi="Times New Roman" w:cs="Times New Roman"/>
                <w:kern w:val="2"/>
                <w:sz w:val="21"/>
                <w:szCs w:val="21"/>
                <w:lang w:eastAsia="zh-CN"/>
              </w:rPr>
              <w:t>，</w:t>
            </w:r>
            <w:r>
              <w:rPr>
                <w:rFonts w:hint="default" w:ascii="Times New Roman" w:hAnsi="Times New Roman" w:cs="Times New Roman"/>
                <w:i w:val="0"/>
                <w:iCs w:val="0"/>
                <w:color w:val="000000"/>
                <w:kern w:val="0"/>
                <w:sz w:val="21"/>
                <w:szCs w:val="21"/>
                <w:u w:val="none"/>
                <w:lang w:val="en-US" w:eastAsia="zh-CN" w:bidi="ar"/>
              </w:rPr>
              <w:t>水池内部设置防腐涂层</w:t>
            </w:r>
            <w:r>
              <w:rPr>
                <w:rFonts w:hint="eastAsia" w:ascii="Times New Roman" w:hAnsi="Times New Roman" w:cs="Times New Roman"/>
                <w:i w:val="0"/>
                <w:iCs w:val="0"/>
                <w:color w:val="000000"/>
                <w:kern w:val="0"/>
                <w:sz w:val="21"/>
                <w:szCs w:val="21"/>
                <w:u w:val="none"/>
                <w:lang w:val="en-US" w:eastAsia="zh-CN" w:bidi="ar"/>
              </w:rPr>
              <w:t>，顶部钢筋混凝土覆盖</w:t>
            </w:r>
          </w:p>
        </w:tc>
        <w:tc>
          <w:tcPr>
            <w:tcW w:w="1406" w:type="dxa"/>
            <w:noWrap w:val="0"/>
            <w:vAlign w:val="center"/>
          </w:tcPr>
          <w:p>
            <w:pPr>
              <w:widowControl w:val="0"/>
              <w:tabs>
                <w:tab w:val="left" w:pos="1680"/>
                <w:tab w:val="left" w:pos="3465"/>
              </w:tabs>
              <w:adjustRightInd w:val="0"/>
              <w:snapToGrid w:val="0"/>
              <w:spacing w:line="300" w:lineRule="exact"/>
              <w:ind w:firstLine="0" w:firstLineChars="0"/>
              <w:jc w:val="center"/>
              <w:textAlignment w:val="baseline"/>
              <w:rPr>
                <w:rFonts w:hint="eastAsia" w:ascii="Times New Roman" w:hAnsi="Times New Roman" w:eastAsia="宋体" w:cs="Times New Roman"/>
                <w:snapToGrid w:val="0"/>
                <w:color w:val="auto"/>
                <w:kern w:val="2"/>
                <w:sz w:val="21"/>
                <w:szCs w:val="21"/>
                <w:lang w:val="en-US" w:eastAsia="zh-CN"/>
              </w:rPr>
            </w:pPr>
            <w:r>
              <w:rPr>
                <w:rFonts w:hint="eastAsia" w:ascii="Times New Roman" w:hAnsi="Times New Roman" w:cs="Times New Roman"/>
                <w:snapToGrid w:val="0"/>
                <w:color w:val="auto"/>
                <w:kern w:val="2"/>
                <w:sz w:val="21"/>
                <w:szCs w:val="21"/>
                <w:lang w:val="en-US" w:eastAsia="zh-CN"/>
              </w:rPr>
              <w:t>容积：3580m</w:t>
            </w:r>
            <w:r>
              <w:rPr>
                <w:rFonts w:hint="eastAsia" w:ascii="Times New Roman" w:hAnsi="Times New Roman" w:cs="Times New Roman"/>
                <w:snapToGrid w:val="0"/>
                <w:color w:val="auto"/>
                <w:kern w:val="2"/>
                <w:sz w:val="21"/>
                <w:szCs w:val="21"/>
                <w:vertAlign w:val="superscript"/>
                <w:lang w:val="en-US" w:eastAsia="zh-CN"/>
              </w:rPr>
              <w:t>3</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通过对资料搜集、现场踏勘和人员访谈的结果进行分析和评价，根据各区域及设施信息、特征污染物类型、污染物进入土壤和地下水的途径等，该企业是以</w:t>
      </w:r>
      <w:r>
        <w:rPr>
          <w:rFonts w:hint="default" w:ascii="Times New Roman" w:hAnsi="Times New Roman" w:cs="Times New Roman"/>
          <w:sz w:val="28"/>
          <w:szCs w:val="28"/>
          <w:highlight w:val="none"/>
          <w:lang w:val="en-US" w:eastAsia="zh-CN"/>
        </w:rPr>
        <w:t>各产品的原材料，通过一定比例调配混合制作各类涂料。</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本项目厂区分为工艺生产部分、</w:t>
      </w:r>
      <w:r>
        <w:rPr>
          <w:rFonts w:hint="default" w:ascii="Times New Roman" w:hAnsi="Times New Roman" w:cs="Times New Roman"/>
          <w:sz w:val="28"/>
          <w:szCs w:val="28"/>
          <w:highlight w:val="none"/>
          <w:lang w:val="en-US" w:eastAsia="zh-CN"/>
        </w:rPr>
        <w:t>原料及成品储存部分及</w:t>
      </w:r>
      <w:r>
        <w:rPr>
          <w:rFonts w:hint="default" w:ascii="Times New Roman" w:hAnsi="Times New Roman" w:eastAsia="宋体" w:cs="Times New Roman"/>
          <w:sz w:val="28"/>
          <w:szCs w:val="28"/>
          <w:highlight w:val="none"/>
          <w:lang w:val="en-US" w:eastAsia="zh-CN"/>
        </w:rPr>
        <w:t>污水处理部分，在各个部分又分别有各自的组成。本项目的重点区域为：场地内有毒有害物质的使用、处理、储存和处置的场所，生产车间，污水处理系统，储罐与容器，地上管线，工业垃圾堆放场所</w:t>
      </w:r>
      <w:r>
        <w:rPr>
          <w:rFonts w:hint="default" w:ascii="Times New Roman" w:hAnsi="Times New Roman" w:cs="Times New Roman"/>
          <w:sz w:val="28"/>
          <w:szCs w:val="28"/>
          <w:highlight w:val="none"/>
          <w:lang w:val="en-US" w:eastAsia="zh-CN"/>
        </w:rPr>
        <w:t>，危险废物存储场所</w:t>
      </w:r>
      <w:r>
        <w:rPr>
          <w:rFonts w:hint="default" w:ascii="Times New Roman" w:hAnsi="Times New Roman" w:eastAsia="宋体" w:cs="Times New Roman"/>
          <w:sz w:val="28"/>
          <w:szCs w:val="28"/>
          <w:highlight w:val="none"/>
          <w:lang w:val="en-US" w:eastAsia="zh-CN"/>
        </w:rPr>
        <w:t>，留有恶臭、化学品味道和刺激性气味的场所等。</w:t>
      </w:r>
    </w:p>
    <w:p>
      <w:pPr>
        <w:pStyle w:val="6"/>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0"/>
          <w:szCs w:val="30"/>
          <w:highlight w:val="none"/>
          <w:lang w:val="en-US" w:eastAsia="zh-CN"/>
        </w:rPr>
      </w:pPr>
      <w:bookmarkStart w:id="58" w:name="_Toc2774"/>
      <w:r>
        <w:rPr>
          <w:rFonts w:hint="default" w:ascii="Times New Roman" w:hAnsi="Times New Roman" w:cs="Times New Roman"/>
          <w:sz w:val="30"/>
          <w:szCs w:val="30"/>
          <w:highlight w:val="none"/>
          <w:lang w:val="en-US" w:eastAsia="zh-CN"/>
        </w:rPr>
        <w:t>3</w:t>
      </w:r>
      <w:r>
        <w:rPr>
          <w:rFonts w:hint="default" w:ascii="Times New Roman" w:hAnsi="Times New Roman" w:cs="Times New Roman"/>
          <w:sz w:val="30"/>
          <w:szCs w:val="30"/>
          <w:highlight w:val="none"/>
        </w:rPr>
        <w:t>.</w:t>
      </w:r>
      <w:r>
        <w:rPr>
          <w:rFonts w:hint="default" w:ascii="Times New Roman" w:hAnsi="Times New Roman" w:cs="Times New Roman"/>
          <w:sz w:val="30"/>
          <w:szCs w:val="30"/>
          <w:highlight w:val="none"/>
          <w:lang w:val="en-US" w:eastAsia="zh-CN"/>
        </w:rPr>
        <w:t>4现场排查方法</w:t>
      </w:r>
      <w:bookmarkEnd w:id="58"/>
    </w:p>
    <w:p>
      <w:pPr>
        <w:rPr>
          <w:rFonts w:hint="default" w:ascii="Times New Roman" w:hAnsi="Times New Roman" w:cs="Times New Roman"/>
          <w:lang w:eastAsia="zh-CN"/>
        </w:rPr>
      </w:pPr>
      <w:r>
        <w:rPr>
          <w:rFonts w:hint="default" w:ascii="Times New Roman" w:hAnsi="Times New Roman" w:cs="Times New Roman"/>
          <w:lang w:eastAsia="zh-CN"/>
        </w:rPr>
        <w:t>工业企业土壤污染隐患排查方法包括资料收集、现场目测、日常巡查和调查监测等手段。</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3.4</w:t>
      </w:r>
      <w:r>
        <w:rPr>
          <w:rFonts w:hint="default" w:ascii="Times New Roman" w:hAnsi="Times New Roman" w:cs="Times New Roman"/>
          <w:sz w:val="28"/>
          <w:szCs w:val="28"/>
          <w:highlight w:val="none"/>
        </w:rPr>
        <w:t>.1 资料收集</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为确定该厂区是否存在土壤污染，首先需要收集生产生活过程涉及的物质、设施设备和运行管理等信息，通过充分的案头研究，确定物质进入土壤的可能性及分散方式，可能产生疑似污染的区域等。</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3.4</w:t>
      </w:r>
      <w:r>
        <w:rPr>
          <w:rFonts w:hint="default" w:ascii="Times New Roman" w:hAnsi="Times New Roman" w:cs="Times New Roman"/>
          <w:sz w:val="28"/>
          <w:szCs w:val="28"/>
          <w:highlight w:val="none"/>
        </w:rPr>
        <w:t>.2 目测检查</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rPr>
        <w:t>具有经验的员工可以开展设施设备及运行情况检查。如果生产活动中有特定设施或运行管理流程，公司可培训厂内员工进行排查。目测检查需保留记录结果和行动日志。</w:t>
      </w:r>
      <w:r>
        <w:rPr>
          <w:rFonts w:hint="default" w:ascii="Times New Roman" w:hAnsi="Times New Roman" w:cs="Times New Roman"/>
          <w:sz w:val="28"/>
          <w:szCs w:val="28"/>
          <w:highlight w:val="none"/>
          <w:lang w:val="en-US" w:eastAsia="zh-CN"/>
        </w:rPr>
        <w:t>结果包含：检查设施类型和名称，检查地点，检查时间和频率，检查方法（视觉、抽样、测量等），结果报告和记录方式，对违规行为采取的行动。</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路面防渗：未来证明地面和路面满足防渗防漏的需求，定期对其进行检查，检查包括接口结构、凸起边缘和破碎程度等。地面目视检查内容包括：</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（1）地面或路面已经使用的时间；</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（2）当前和预期用途；</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（3）检查室时地面的状况；</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（4）检查时观察到的液体渗漏情况。</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3.4</w:t>
      </w:r>
      <w:r>
        <w:rPr>
          <w:rFonts w:hint="default" w:ascii="Times New Roman" w:hAnsi="Times New Roman" w:cs="Times New Roman"/>
          <w:sz w:val="28"/>
          <w:szCs w:val="28"/>
          <w:highlight w:val="none"/>
        </w:rPr>
        <w:t>.3 日常巡查</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z w:val="28"/>
          <w:szCs w:val="28"/>
          <w:highlight w:val="none"/>
          <w:lang w:eastAsia="zh-CN"/>
        </w:rPr>
      </w:pPr>
      <w:r>
        <w:rPr>
          <w:rFonts w:hint="default" w:ascii="Times New Roman" w:hAnsi="Times New Roman" w:cs="Times New Roman"/>
          <w:sz w:val="28"/>
          <w:szCs w:val="28"/>
          <w:highlight w:val="none"/>
        </w:rPr>
        <w:t>建立对容器、管道、泵及土壤污染防控设备的定期检查制度。对特定生产工艺、特定区域或特定材料进行专项巡查，识别泄露、扬散或溢漏的潜在风险</w:t>
      </w:r>
      <w:r>
        <w:rPr>
          <w:rFonts w:hint="default" w:ascii="Times New Roman" w:hAnsi="Times New Roman" w:cs="Times New Roman"/>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1、监管内容</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日常监管应结合生产工艺类型、防护措施和监管手段进行土壤污染的可能性评估。</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（1）散装液体存储</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在储存散装液体时，储罐区应设置围堰，地面做防渗处理，并有应急收集措施，定期对其开展检查。</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（2）</w:t>
      </w:r>
      <w:r>
        <w:rPr>
          <w:rFonts w:hint="default" w:ascii="Times New Roman" w:hAnsi="Times New Roman" w:cs="Times New Roman"/>
          <w:sz w:val="28"/>
          <w:szCs w:val="28"/>
          <w:highlight w:val="none"/>
          <w:lang w:val="en-US" w:eastAsia="zh-CN"/>
        </w:rPr>
        <w:t>散装液体的运输</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装卸点采用防泄漏的泵直接将散装液体泵入槽车内，进料口和出料管道出口不外露，溢流安全装置为不可渗容器。</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（3）</w:t>
      </w:r>
      <w:r>
        <w:rPr>
          <w:rFonts w:hint="default" w:ascii="Times New Roman" w:hAnsi="Times New Roman" w:cs="Times New Roman"/>
          <w:sz w:val="28"/>
          <w:szCs w:val="28"/>
          <w:highlight w:val="none"/>
          <w:lang w:val="en-US" w:eastAsia="zh-CN"/>
        </w:rPr>
        <w:t>散装和包装物品的储存和运输</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转运散装物品优先选择在封闭环境内进行。储存和转移包装好的液体，须在防渗设施上方进行，经常检查储存的包装并且立即清除任何泄露。存储和运输液体包装须在液体存储设备上进行，包装必须适合存储。定期检测，若有任何泄漏须即刻清理。</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（4）</w:t>
      </w:r>
      <w:r>
        <w:rPr>
          <w:rFonts w:hint="default" w:ascii="Times New Roman" w:hAnsi="Times New Roman" w:cs="Times New Roman"/>
          <w:sz w:val="28"/>
          <w:szCs w:val="28"/>
          <w:highlight w:val="none"/>
          <w:lang w:val="en-US" w:eastAsia="zh-CN"/>
        </w:rPr>
        <w:t>生产、处理</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工业生产使用防渗存储设施，防渗设施安装在设备或活动的下方和周围，形成四周有凸起的围堰，确保具有足够的容纳空间。释放出的污染物必须定期清理。制定针对性地应急程序，发生意外事故时防止出现土壤污染。</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eastAsia" w:ascii="Times New Roman" w:hAnsi="Times New Roman" w:cs="Times New Roman"/>
          <w:sz w:val="28"/>
          <w:szCs w:val="28"/>
          <w:highlight w:val="none"/>
          <w:lang w:val="en-US" w:eastAsia="zh-CN"/>
        </w:rPr>
        <w:t>（5）</w:t>
      </w:r>
      <w:r>
        <w:rPr>
          <w:rFonts w:hint="default" w:ascii="Times New Roman" w:hAnsi="Times New Roman" w:cs="Times New Roman"/>
          <w:sz w:val="28"/>
          <w:szCs w:val="28"/>
          <w:highlight w:val="none"/>
          <w:lang w:val="en-US" w:eastAsia="zh-CN"/>
        </w:rPr>
        <w:t>其他工业活动</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车间的地面能防止液体渗透。设备和机器在使用时，不具有可渗漏的收集和防渗设施，或者安装在不可渗漏的地面上，必须建立有效的设施和程序，以防止或及时清除物质的溢流和泄漏。</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2、监管方式</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（1）日常巡查，建立巡查制度，定期检测容器、管道、泵及土壤保护控制设备，一般两天一次。</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（2）专项巡查，对生产区域，储存区域，危废暂存区等进行专项巡查，识别泄漏、扬散和溢漏的潜在风险。</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3）指导和培训员工以正确方式使用、监督和检查设备，规范检查程序要求。明确相关保护措施检查要求，报告紧急措施使用、清理释放物质和事件报告的培训等。熟练的操作人员能降低生产活动特定监管区域的土壤污染风险</w:t>
      </w:r>
      <w:r>
        <w:rPr>
          <w:rFonts w:hint="default" w:ascii="Times New Roman" w:hAnsi="Times New Roman" w:cs="Times New Roman"/>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3.4</w:t>
      </w:r>
      <w:r>
        <w:rPr>
          <w:rFonts w:hint="default" w:ascii="Times New Roman" w:hAnsi="Times New Roman" w:cs="Times New Roman"/>
          <w:sz w:val="28"/>
          <w:szCs w:val="28"/>
          <w:highlight w:val="none"/>
        </w:rPr>
        <w:t>.4 调查监测</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当资料收集、目测或巡查等发现土壤有疑似污染的现象，可以通过调查采样和分析检测进行确认。调查监测结束后，正确分析和评估调查结果，判断污染物种类、浓度及空间分布，并确定风险等级及污染区的范围，明确是否需要采取进一步的行动，包括但不限于：</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(1)完善运行管理措施；</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(2)设计并建设防止污染的设备设施；</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rPr>
        <w:t>(3)清除污染土壤</w:t>
      </w:r>
      <w:r>
        <w:rPr>
          <w:rFonts w:hint="default" w:ascii="Times New Roman" w:hAnsi="Times New Roman" w:cs="Times New Roman"/>
          <w:sz w:val="28"/>
          <w:szCs w:val="28"/>
          <w:highlight w:val="none"/>
          <w:lang w:eastAsia="zh-CN"/>
        </w:rPr>
        <w:t>。</w:t>
      </w:r>
    </w:p>
    <w:p>
      <w:pPr>
        <w:rPr>
          <w:rFonts w:hint="default" w:ascii="Times New Roman" w:hAnsi="Times New Roman" w:cs="Times New Roman"/>
          <w:sz w:val="28"/>
          <w:szCs w:val="28"/>
          <w:highlight w:val="none"/>
          <w:lang w:eastAsia="zh-CN"/>
        </w:rPr>
      </w:pPr>
      <w:r>
        <w:rPr>
          <w:rFonts w:hint="default" w:ascii="Times New Roman" w:hAnsi="Times New Roman" w:cs="Times New Roman"/>
          <w:sz w:val="28"/>
          <w:szCs w:val="28"/>
          <w:highlight w:val="none"/>
          <w:lang w:eastAsia="zh-CN"/>
        </w:rPr>
        <w:br w:type="page"/>
      </w:r>
    </w:p>
    <w:p>
      <w:pPr>
        <w:pStyle w:val="5"/>
        <w:keepNext/>
        <w:keepLines/>
        <w:pageBreakBefore w:val="0"/>
        <w:widowControl/>
        <w:kinsoku/>
        <w:wordWrap/>
        <w:overflowPunct/>
        <w:topLinePunct w:val="0"/>
        <w:autoSpaceDE/>
        <w:autoSpaceDN/>
        <w:bidi w:val="0"/>
        <w:adjustRightInd w:val="0"/>
        <w:snapToGrid w:val="0"/>
        <w:spacing w:before="181" w:beforeLines="50" w:after="181" w:afterLines="50"/>
        <w:jc w:val="center"/>
        <w:textAlignment w:val="auto"/>
        <w:rPr>
          <w:rFonts w:hint="default" w:ascii="Times New Roman" w:hAnsi="Times New Roman" w:cs="Times New Roman"/>
          <w:sz w:val="32"/>
          <w:szCs w:val="32"/>
          <w:highlight w:val="none"/>
        </w:rPr>
      </w:pPr>
      <w:bookmarkStart w:id="59" w:name="_Toc31600"/>
      <w:r>
        <w:rPr>
          <w:rFonts w:hint="default" w:ascii="Times New Roman" w:hAnsi="Times New Roman" w:cs="Times New Roman"/>
          <w:sz w:val="32"/>
          <w:szCs w:val="32"/>
          <w:highlight w:val="none"/>
          <w:lang w:val="en-US" w:eastAsia="zh-CN"/>
        </w:rPr>
        <w:t>4</w:t>
      </w:r>
      <w:r>
        <w:rPr>
          <w:rFonts w:hint="default" w:ascii="Times New Roman" w:hAnsi="Times New Roman" w:cs="Times New Roman"/>
          <w:sz w:val="32"/>
          <w:szCs w:val="32"/>
          <w:highlight w:val="none"/>
        </w:rPr>
        <w:t>、土壤污染隐患排查</w:t>
      </w:r>
      <w:bookmarkEnd w:id="59"/>
    </w:p>
    <w:p>
      <w:pPr>
        <w:pageBreakBefore w:val="0"/>
        <w:kinsoku/>
        <w:wordWrap/>
        <w:overflowPunct/>
        <w:topLinePunct w:val="0"/>
        <w:autoSpaceDE/>
        <w:autoSpaceDN/>
        <w:bidi w:val="0"/>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按照《重点监管单位土壤污染隐患排查指南（试行）》的相关要求，对企业内部以下重点关注对象进行综合排查，分别落实相关记录、资料、现场照片等工作。对发现存在严重污染情况者，及时上报相关机构、责任部门并及时处理。</w:t>
      </w:r>
    </w:p>
    <w:p>
      <w:pPr>
        <w:pageBreakBefore w:val="0"/>
        <w:widowControl/>
        <w:kinsoku/>
        <w:wordWrap/>
        <w:overflowPunct/>
        <w:topLinePunct w:val="0"/>
        <w:autoSpaceDE/>
        <w:autoSpaceDN/>
        <w:bidi w:val="0"/>
        <w:adjustRightInd w:val="0"/>
        <w:snapToGrid w:val="0"/>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本次土壤污染隐患排查工作，在严格按照技术规范要求的基础上，结合</w:t>
      </w:r>
      <w:r>
        <w:rPr>
          <w:rFonts w:hint="eastAsia" w:ascii="Times New Roman" w:hAnsi="Times New Roman" w:cs="Times New Roman"/>
          <w:sz w:val="28"/>
          <w:szCs w:val="28"/>
          <w:highlight w:val="none"/>
          <w:lang w:eastAsia="zh-CN"/>
        </w:rPr>
        <w:t>安阳九久化学科技有限公司</w:t>
      </w:r>
      <w:r>
        <w:rPr>
          <w:rFonts w:hint="default" w:ascii="Times New Roman" w:hAnsi="Times New Roman" w:cs="Times New Roman"/>
          <w:sz w:val="28"/>
          <w:szCs w:val="28"/>
          <w:highlight w:val="none"/>
        </w:rPr>
        <w:t>的厂区布置及生产的实际情况，对重点排查对象进行逐一细致的排查。本厂区隐患排查重点关注储罐类、水坑或渗坑、管道输送、泵传输、固态物质的存储与运输及固体废物处理与堆存等方面。通过对重点排查对象的目视检查得出厂区土壤受污染的可能性，并提出相应的整改措施。</w:t>
      </w:r>
    </w:p>
    <w:p>
      <w:pPr>
        <w:pStyle w:val="6"/>
        <w:keepNext/>
        <w:keepLines/>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30"/>
          <w:szCs w:val="30"/>
          <w:highlight w:val="none"/>
          <w:lang w:val="en-US" w:eastAsia="zh-CN"/>
        </w:rPr>
      </w:pPr>
      <w:bookmarkStart w:id="60" w:name="_Toc25068"/>
      <w:r>
        <w:rPr>
          <w:rFonts w:hint="default" w:ascii="Times New Roman" w:hAnsi="Times New Roman" w:cs="Times New Roman"/>
          <w:sz w:val="30"/>
          <w:szCs w:val="30"/>
          <w:highlight w:val="none"/>
          <w:lang w:val="en-US" w:eastAsia="zh-CN"/>
        </w:rPr>
        <w:t>4</w:t>
      </w:r>
      <w:r>
        <w:rPr>
          <w:rFonts w:hint="default" w:ascii="Times New Roman" w:hAnsi="Times New Roman" w:cs="Times New Roman"/>
          <w:sz w:val="30"/>
          <w:szCs w:val="30"/>
          <w:highlight w:val="none"/>
        </w:rPr>
        <w:t>.</w:t>
      </w:r>
      <w:r>
        <w:rPr>
          <w:rFonts w:hint="default" w:ascii="Times New Roman" w:hAnsi="Times New Roman" w:cs="Times New Roman"/>
          <w:sz w:val="30"/>
          <w:szCs w:val="30"/>
          <w:highlight w:val="none"/>
          <w:lang w:val="en-US" w:eastAsia="zh-CN"/>
        </w:rPr>
        <w:t>1</w:t>
      </w:r>
      <w:r>
        <w:rPr>
          <w:rFonts w:hint="default" w:ascii="Times New Roman" w:hAnsi="Times New Roman" w:cs="Times New Roman"/>
          <w:sz w:val="30"/>
          <w:szCs w:val="30"/>
          <w:highlight w:val="none"/>
        </w:rPr>
        <w:t xml:space="preserve"> 重点场所、重点设施设备隐患排查</w:t>
      </w:r>
      <w:bookmarkEnd w:id="60"/>
    </w:p>
    <w:p>
      <w:pPr>
        <w:pageBreakBefore w:val="0"/>
        <w:widowControl/>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4.1.1 液体储存区</w:t>
      </w:r>
    </w:p>
    <w:p>
      <w:pPr>
        <w:pageBreakBefore w:val="0"/>
        <w:kinsoku/>
        <w:wordWrap/>
        <w:overflowPunct/>
        <w:topLinePunct w:val="0"/>
        <w:autoSpaceDE/>
        <w:autoSpaceDN/>
        <w:bidi w:val="0"/>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w:t>
      </w:r>
      <w:r>
        <w:rPr>
          <w:rFonts w:hint="default" w:ascii="Times New Roman" w:hAnsi="Times New Roman" w:cs="Times New Roman"/>
          <w:sz w:val="28"/>
          <w:szCs w:val="28"/>
          <w:highlight w:val="none"/>
        </w:rPr>
        <w:t>.1.1 地下储罐</w:t>
      </w:r>
    </w:p>
    <w:p>
      <w:pPr>
        <w:rPr>
          <w:rFonts w:hint="default" w:eastAsia="宋体"/>
          <w:lang w:val="en-US" w:eastAsia="zh-CN"/>
        </w:rPr>
      </w:pPr>
      <w:r>
        <w:rPr>
          <w:rFonts w:hint="eastAsia"/>
          <w:lang w:val="en-US" w:eastAsia="zh-CN"/>
        </w:rPr>
        <w:t>本项目不涉及地下储罐</w:t>
      </w:r>
    </w:p>
    <w:p>
      <w:pPr>
        <w:keepNext w:val="0"/>
        <w:keepLines w:val="0"/>
        <w:pageBreakBefore w:val="0"/>
        <w:widowControl/>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4.1.1.2 直接接地的</w:t>
      </w:r>
      <w:r>
        <w:rPr>
          <w:rFonts w:hint="eastAsia" w:ascii="Times New Roman" w:hAnsi="Times New Roman" w:eastAsia="宋体" w:cs="Times New Roman"/>
          <w:sz w:val="28"/>
          <w:szCs w:val="28"/>
          <w:highlight w:val="none"/>
          <w:lang w:val="en-US" w:eastAsia="zh-CN"/>
        </w:rPr>
        <w:t>接地</w:t>
      </w:r>
      <w:r>
        <w:rPr>
          <w:rFonts w:hint="default" w:ascii="Times New Roman" w:hAnsi="Times New Roman" w:eastAsia="宋体" w:cs="Times New Roman"/>
          <w:sz w:val="28"/>
          <w:szCs w:val="28"/>
          <w:highlight w:val="none"/>
          <w:lang w:val="en-US" w:eastAsia="zh-CN"/>
        </w:rPr>
        <w:t>储罐</w:t>
      </w:r>
    </w:p>
    <w:p>
      <w:pPr>
        <w:rPr>
          <w:rFonts w:hint="eastAsia" w:ascii="Times New Roman" w:hAnsi="Times New Roman" w:cs="Times New Roman" w:eastAsiaTheme="minorEastAsia"/>
          <w:szCs w:val="28"/>
        </w:rPr>
      </w:pPr>
      <w:r>
        <w:rPr>
          <w:rFonts w:hint="eastAsia" w:ascii="Times New Roman" w:hAnsi="Times New Roman" w:cs="Times New Roman" w:eastAsiaTheme="minorEastAsia"/>
          <w:szCs w:val="28"/>
        </w:rPr>
        <w:t>工业生产活动中如果存在泄露的、地面硬化设施不完善的</w:t>
      </w:r>
      <w:r>
        <w:rPr>
          <w:rFonts w:hint="default" w:ascii="Times New Roman" w:hAnsi="Times New Roman" w:eastAsia="宋体" w:cs="Times New Roman"/>
          <w:sz w:val="28"/>
          <w:szCs w:val="28"/>
          <w:highlight w:val="none"/>
          <w:lang w:val="en-US" w:eastAsia="zh-CN"/>
        </w:rPr>
        <w:t>直接接地的</w:t>
      </w:r>
      <w:r>
        <w:rPr>
          <w:rFonts w:hint="eastAsia" w:ascii="Times New Roman" w:hAnsi="Times New Roman" w:eastAsia="宋体" w:cs="Times New Roman"/>
          <w:sz w:val="28"/>
          <w:szCs w:val="28"/>
          <w:highlight w:val="none"/>
          <w:lang w:val="en-US" w:eastAsia="zh-CN"/>
        </w:rPr>
        <w:t>接地</w:t>
      </w:r>
      <w:r>
        <w:rPr>
          <w:rFonts w:hint="default" w:ascii="Times New Roman" w:hAnsi="Times New Roman" w:eastAsia="宋体" w:cs="Times New Roman"/>
          <w:sz w:val="28"/>
          <w:szCs w:val="28"/>
          <w:highlight w:val="none"/>
          <w:lang w:val="en-US" w:eastAsia="zh-CN"/>
        </w:rPr>
        <w:t>储罐</w:t>
      </w:r>
      <w:r>
        <w:rPr>
          <w:rFonts w:hint="eastAsia" w:ascii="Times New Roman" w:hAnsi="Times New Roman" w:cs="Times New Roman" w:eastAsiaTheme="minorEastAsia"/>
          <w:szCs w:val="28"/>
        </w:rPr>
        <w:t>，极易产生土壤污染。</w:t>
      </w:r>
    </w:p>
    <w:p>
      <w:pPr>
        <w:pStyle w:val="2"/>
        <w:keepNext w:val="0"/>
        <w:keepLines w:val="0"/>
        <w:pageBreakBefore w:val="0"/>
        <w:widowControl/>
        <w:kinsoku/>
        <w:wordWrap/>
        <w:overflowPunct/>
        <w:topLinePunct w:val="0"/>
        <w:autoSpaceDE/>
        <w:autoSpaceDN/>
        <w:bidi w:val="0"/>
        <w:adjustRightInd w:val="0"/>
        <w:snapToGrid w:val="0"/>
        <w:spacing w:after="0"/>
        <w:ind w:left="0" w:leftChars="0"/>
        <w:textAlignment w:val="auto"/>
        <w:rPr>
          <w:rFonts w:hint="eastAsia"/>
          <w:lang w:val="en-US" w:eastAsia="zh-CN"/>
        </w:rPr>
      </w:pPr>
      <w:r>
        <w:rPr>
          <w:rFonts w:hint="eastAsia"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接地</w:t>
      </w:r>
      <w:r>
        <w:rPr>
          <w:rFonts w:hint="eastAsia"/>
          <w:lang w:val="en-US" w:eastAsia="zh-CN"/>
        </w:rPr>
        <w:t>储罐预警系统主要检测罐体的泄露，检查侧重于罐体的下表面、进料口、出料口、法兰、排尽口、基槽和围堰等部位的泄漏情况。</w:t>
      </w:r>
    </w:p>
    <w:p>
      <w:pPr>
        <w:pStyle w:val="2"/>
        <w:keepNext w:val="0"/>
        <w:keepLines w:val="0"/>
        <w:pageBreakBefore w:val="0"/>
        <w:widowControl/>
        <w:kinsoku/>
        <w:wordWrap/>
        <w:overflowPunct/>
        <w:topLinePunct w:val="0"/>
        <w:autoSpaceDE/>
        <w:autoSpaceDN/>
        <w:bidi w:val="0"/>
        <w:adjustRightInd w:val="0"/>
        <w:snapToGrid w:val="0"/>
        <w:spacing w:after="0"/>
        <w:ind w:left="0" w:leftChars="0"/>
        <w:textAlignment w:val="auto"/>
        <w:rPr>
          <w:rFonts w:hint="eastAsia"/>
          <w:lang w:val="en-US" w:eastAsia="zh-CN"/>
        </w:rPr>
      </w:pPr>
      <w:r>
        <w:rPr>
          <w:rFonts w:hint="eastAsia"/>
          <w:lang w:val="en-US" w:eastAsia="zh-CN"/>
        </w:rPr>
        <w:t>（2）具有阴极保护特征和储罐预警系统的</w:t>
      </w:r>
      <w:r>
        <w:rPr>
          <w:rFonts w:hint="eastAsia" w:ascii="Times New Roman" w:hAnsi="Times New Roman" w:eastAsia="宋体" w:cs="Times New Roman"/>
          <w:sz w:val="28"/>
          <w:szCs w:val="28"/>
          <w:highlight w:val="none"/>
          <w:lang w:val="en-US" w:eastAsia="zh-CN"/>
        </w:rPr>
        <w:t>接地</w:t>
      </w:r>
      <w:r>
        <w:rPr>
          <w:rFonts w:hint="eastAsia"/>
          <w:lang w:val="en-US" w:eastAsia="zh-CN"/>
        </w:rPr>
        <w:t>储罐产生土壤污染的可能性较低。</w:t>
      </w:r>
    </w:p>
    <w:p>
      <w:pPr>
        <w:pStyle w:val="2"/>
        <w:keepNext w:val="0"/>
        <w:keepLines w:val="0"/>
        <w:pageBreakBefore w:val="0"/>
        <w:widowControl/>
        <w:kinsoku/>
        <w:wordWrap/>
        <w:overflowPunct/>
        <w:topLinePunct w:val="0"/>
        <w:autoSpaceDE/>
        <w:autoSpaceDN/>
        <w:bidi w:val="0"/>
        <w:adjustRightInd w:val="0"/>
        <w:snapToGrid w:val="0"/>
        <w:spacing w:after="0"/>
        <w:ind w:left="0" w:leftChars="0"/>
        <w:textAlignment w:val="auto"/>
        <w:rPr>
          <w:rFonts w:hint="eastAsia"/>
          <w:lang w:val="en-US" w:eastAsia="zh-CN"/>
        </w:rPr>
      </w:pPr>
      <w:r>
        <w:rPr>
          <w:rFonts w:hint="eastAsia"/>
          <w:lang w:val="en-US" w:eastAsia="zh-CN"/>
        </w:rPr>
        <w:t>（3）“控制溢流排放”可以将罐体中溢流出来的液体通过防漏或不渗漏导排系统引导到收集设施中，降低土壤污染可能性。否则，当</w:t>
      </w:r>
      <w:r>
        <w:rPr>
          <w:rFonts w:hint="eastAsia" w:ascii="Times New Roman" w:hAnsi="Times New Roman" w:eastAsia="宋体" w:cs="Times New Roman"/>
          <w:sz w:val="28"/>
          <w:szCs w:val="28"/>
          <w:highlight w:val="none"/>
          <w:lang w:val="en-US" w:eastAsia="zh-CN"/>
        </w:rPr>
        <w:t>接地</w:t>
      </w:r>
      <w:r>
        <w:rPr>
          <w:rFonts w:hint="eastAsia"/>
          <w:lang w:val="en-US" w:eastAsia="zh-CN"/>
        </w:rPr>
        <w:t>罐体入料过满时，地上的双层罐也有可能导致土壤污染。</w:t>
      </w:r>
    </w:p>
    <w:p>
      <w:pPr>
        <w:pStyle w:val="2"/>
        <w:keepNext w:val="0"/>
        <w:keepLines w:val="0"/>
        <w:pageBreakBefore w:val="0"/>
        <w:widowControl/>
        <w:kinsoku/>
        <w:wordWrap/>
        <w:overflowPunct/>
        <w:topLinePunct w:val="0"/>
        <w:autoSpaceDE/>
        <w:autoSpaceDN/>
        <w:bidi w:val="0"/>
        <w:adjustRightInd w:val="0"/>
        <w:snapToGrid w:val="0"/>
        <w:spacing w:after="0"/>
        <w:ind w:left="0" w:leftChars="0"/>
        <w:textAlignment w:val="auto"/>
        <w:rPr>
          <w:rFonts w:hint="eastAsia"/>
          <w:lang w:val="en-US" w:eastAsia="zh-CN"/>
        </w:rPr>
      </w:pPr>
      <w:r>
        <w:rPr>
          <w:rFonts w:hint="eastAsia"/>
          <w:lang w:val="en-US" w:eastAsia="zh-CN"/>
        </w:rPr>
        <w:t>（4）无渗漏措施和泄漏预警系统的单层罐和双层罐都易造成土壤污染。</w:t>
      </w:r>
    </w:p>
    <w:p>
      <w:pPr>
        <w:pStyle w:val="2"/>
        <w:keepNext w:val="0"/>
        <w:keepLines w:val="0"/>
        <w:pageBreakBefore w:val="0"/>
        <w:widowControl/>
        <w:kinsoku/>
        <w:wordWrap/>
        <w:overflowPunct/>
        <w:topLinePunct w:val="0"/>
        <w:autoSpaceDE/>
        <w:autoSpaceDN/>
        <w:bidi w:val="0"/>
        <w:adjustRightInd w:val="0"/>
        <w:snapToGrid w:val="0"/>
        <w:spacing w:after="0"/>
        <w:ind w:left="0" w:leftChars="0"/>
        <w:textAlignment w:val="auto"/>
        <w:rPr>
          <w:rFonts w:hint="eastAsia"/>
          <w:lang w:val="en-US" w:eastAsia="zh-CN"/>
        </w:rPr>
      </w:pPr>
      <w:r>
        <w:rPr>
          <w:rFonts w:hint="eastAsia"/>
          <w:lang w:val="en-US" w:eastAsia="zh-CN"/>
        </w:rPr>
        <w:t>本项目共有15个接地储罐，其中2个</w:t>
      </w:r>
      <w:r>
        <w:rPr>
          <w:rFonts w:hint="default"/>
          <w:lang w:val="en-US" w:eastAsia="zh-CN"/>
        </w:rPr>
        <w:t>硫酸循环槽</w:t>
      </w:r>
      <w:r>
        <w:rPr>
          <w:rFonts w:hint="eastAsia"/>
          <w:lang w:val="en-US" w:eastAsia="zh-CN"/>
        </w:rPr>
        <w:t>位于硫酸罐区；1个母液罐位于焦亚现场一楼；2个洗锅水地槽分别位于尾气一西侧和尾气二西侧；2个</w:t>
      </w:r>
      <w:r>
        <w:rPr>
          <w:rFonts w:hint="default"/>
          <w:lang w:val="en-US" w:eastAsia="zh-CN"/>
        </w:rPr>
        <w:t>32%烧碱贮罐</w:t>
      </w:r>
      <w:r>
        <w:rPr>
          <w:rFonts w:hint="eastAsia"/>
          <w:lang w:val="en-US" w:eastAsia="zh-CN"/>
        </w:rPr>
        <w:t>、1个粗甲醇贮罐和1个细甲醇贮罐位于综合罐区；1个EO</w:t>
      </w:r>
      <w:r>
        <w:rPr>
          <w:rFonts w:hint="eastAsia"/>
        </w:rPr>
        <w:t>贮槽</w:t>
      </w:r>
      <w:r>
        <w:rPr>
          <w:rFonts w:hint="eastAsia"/>
          <w:lang w:val="en-US" w:eastAsia="zh-CN"/>
        </w:rPr>
        <w:t>位于EO罐区；1个</w:t>
      </w:r>
      <w:r>
        <w:rPr>
          <w:rFonts w:hint="eastAsia" w:ascii="宋体" w:hAnsi="宋体" w:cs="宋体"/>
          <w:kern w:val="0"/>
          <w:szCs w:val="21"/>
        </w:rPr>
        <w:t>冷冻水槽</w:t>
      </w:r>
      <w:r>
        <w:rPr>
          <w:rFonts w:hint="eastAsia" w:ascii="宋体" w:hAnsi="宋体" w:cs="宋体"/>
          <w:kern w:val="0"/>
          <w:szCs w:val="21"/>
          <w:lang w:val="en-US" w:eastAsia="zh-CN"/>
        </w:rPr>
        <w:t>和</w:t>
      </w:r>
      <w:r>
        <w:rPr>
          <w:rFonts w:hint="eastAsia"/>
          <w:lang w:val="en-US" w:eastAsia="zh-CN"/>
        </w:rPr>
        <w:t>1个</w:t>
      </w:r>
      <w:r>
        <w:rPr>
          <w:rFonts w:hint="eastAsia" w:ascii="宋体" w:hAnsi="宋体" w:cs="宋体"/>
          <w:kern w:val="0"/>
          <w:szCs w:val="21"/>
        </w:rPr>
        <w:t>冷冻水槽</w:t>
      </w:r>
      <w:r>
        <w:rPr>
          <w:rFonts w:hint="eastAsia" w:ascii="宋体" w:hAnsi="宋体" w:cs="宋体"/>
          <w:kern w:val="0"/>
          <w:szCs w:val="21"/>
          <w:lang w:val="en-US" w:eastAsia="zh-CN"/>
        </w:rPr>
        <w:t>位于压缩厂房北侧。除硫酸循环槽为碳钢材质外，其他储罐均为不锈钢材质。接地储罐内衬防腐层，放置于水泥基座上，储罐区均设置围堰，围堰内部水泥硬化完好，不存在裂纹现象，同时设有溢流收集装置，工人定期检查。部分罐体基座外层出现腐蚀和脱落现象，建议修缮接地基座，加强管理，定期维护。</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rPr>
      </w:pPr>
      <w:r>
        <w:rPr>
          <w:rFonts w:ascii="Times New Roman" w:cs="Times New Roman" w:hAnsiTheme="minorEastAsia" w:eastAsiaTheme="minorEastAsia"/>
          <w:b/>
          <w:bCs/>
          <w:sz w:val="24"/>
        </w:rPr>
        <w:t>表</w:t>
      </w:r>
      <w:r>
        <w:rPr>
          <w:rFonts w:ascii="Times New Roman" w:hAnsi="Times New Roman" w:cs="Times New Roman" w:eastAsiaTheme="minorEastAsia"/>
          <w:b/>
          <w:bCs/>
          <w:sz w:val="24"/>
        </w:rPr>
        <w:t>4</w:t>
      </w:r>
      <w:r>
        <w:rPr>
          <w:rFonts w:hint="eastAsia" w:ascii="Times New Roman" w:hAnsi="Times New Roman" w:cs="Times New Roman" w:eastAsiaTheme="minorEastAsia"/>
          <w:b/>
          <w:bCs/>
          <w:sz w:val="24"/>
        </w:rPr>
        <w:t>-</w:t>
      </w:r>
      <w:r>
        <w:rPr>
          <w:rFonts w:hint="eastAsia" w:ascii="Times New Roman" w:hAnsi="Times New Roman" w:cs="Times New Roman" w:eastAsiaTheme="minorEastAsia"/>
          <w:b/>
          <w:bCs/>
          <w:sz w:val="24"/>
          <w:lang w:val="en-US" w:eastAsia="zh-CN"/>
        </w:rPr>
        <w:t>1</w:t>
      </w:r>
      <w:r>
        <w:rPr>
          <w:rFonts w:ascii="Times New Roman" w:hAnsi="Times New Roman" w:cs="Times New Roman" w:eastAsiaTheme="minorEastAsia"/>
          <w:b/>
          <w:bCs/>
          <w:sz w:val="24"/>
        </w:rPr>
        <w:t xml:space="preserve">   </w:t>
      </w:r>
      <w:r>
        <w:rPr>
          <w:rFonts w:hint="eastAsia" w:ascii="Times New Roman" w:hAnsi="Times New Roman" w:cs="Times New Roman" w:eastAsiaTheme="minorEastAsia"/>
          <w:b/>
          <w:bCs/>
          <w:sz w:val="24"/>
        </w:rPr>
        <w:t>直接接地的接地储罐</w:t>
      </w:r>
      <w:r>
        <w:rPr>
          <w:rFonts w:ascii="Times New Roman" w:cs="Times New Roman" w:hAnsiTheme="minorEastAsia" w:eastAsiaTheme="minorEastAsia"/>
          <w:b/>
          <w:bCs/>
          <w:sz w:val="24"/>
          <w:szCs w:val="24"/>
        </w:rPr>
        <w:t>排查重点</w:t>
      </w:r>
    </w:p>
    <w:tbl>
      <w:tblPr>
        <w:tblStyle w:val="67"/>
        <w:tblW w:w="5021"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655"/>
        <w:gridCol w:w="902"/>
        <w:gridCol w:w="905"/>
        <w:gridCol w:w="808"/>
        <w:gridCol w:w="554"/>
        <w:gridCol w:w="303"/>
        <w:gridCol w:w="1891"/>
        <w:gridCol w:w="827"/>
        <w:gridCol w:w="999"/>
        <w:gridCol w:w="92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名称</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数量</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规格</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材质</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使用情况</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存储</w:t>
            </w:r>
          </w:p>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污染</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防护措施</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bCs/>
                <w:kern w:val="2"/>
                <w:sz w:val="21"/>
                <w:szCs w:val="21"/>
              </w:rPr>
              <w:t>日常管理</w:t>
            </w:r>
          </w:p>
        </w:tc>
        <w:tc>
          <w:tcPr>
            <w:tcW w:w="504"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bCs/>
                <w:kern w:val="2"/>
                <w:sz w:val="21"/>
                <w:szCs w:val="21"/>
              </w:rPr>
              <w:t>造成土壤污染的方式</w:t>
            </w:r>
          </w:p>
        </w:tc>
        <w:tc>
          <w:tcPr>
            <w:tcW w:w="46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硫酸循环槽</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rPr>
            </w:pPr>
            <w:r>
              <w:rPr>
                <w:rFonts w:hint="default" w:ascii="Times New Roman" w:hAnsi="Times New Roman" w:cs="Times New Roman"/>
                <w:kern w:val="2"/>
                <w:sz w:val="21"/>
                <w:szCs w:val="21"/>
                <w:vertAlign w:val="baseline"/>
                <w:lang w:val="en-US" w:eastAsia="zh-CN"/>
              </w:rPr>
              <w:t>15m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lang w:val="en-US" w:eastAsia="zh-CN"/>
              </w:rPr>
              <w:t>碳钢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母液罐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rPr>
            </w:pPr>
            <w:r>
              <w:rPr>
                <w:rFonts w:hint="default" w:ascii="Times New Roman" w:hAnsi="Times New Roman" w:cs="Times New Roman"/>
                <w:kern w:val="2"/>
                <w:sz w:val="21"/>
                <w:szCs w:val="21"/>
                <w:vertAlign w:val="baseline"/>
                <w:lang w:val="en-US" w:eastAsia="zh-CN"/>
              </w:rPr>
              <w:t>36.5m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0"/>
                <w:sz w:val="21"/>
                <w:szCs w:val="21"/>
              </w:rPr>
              <w:t>洗锅水地槽</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kern w:val="2"/>
                <w:sz w:val="21"/>
                <w:szCs w:val="21"/>
                <w:vertAlign w:val="baseline"/>
                <w:lang w:val="en-US" w:eastAsia="zh-CN"/>
              </w:rPr>
              <w:t>36m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rPr>
              <w:t>32%烧碱贮罐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220m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粗甲醇贮罐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220m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精甲醇贮罐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220m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rPr>
              <w:t>EO贮槽</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lang w:val="en-US" w:eastAsia="zh-CN"/>
              </w:rPr>
              <w:t>4</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50m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0"/>
                <w:sz w:val="21"/>
                <w:szCs w:val="21"/>
              </w:rPr>
              <w:t>冷冻水槽</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100m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冷冻水配水槽</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11m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设置防渗溢流装置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2501" w:type="pct"/>
            <w:gridSpan w:val="6"/>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drawing>
                <wp:inline distT="0" distB="0" distL="114300" distR="114300">
                  <wp:extent cx="2375535" cy="2098675"/>
                  <wp:effectExtent l="0" t="0" r="1905" b="4445"/>
                  <wp:docPr id="41" name="图片 41" descr="C:/Users/Administrator/AppData/Local/Temp/picturecompress_20210930180217/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Local/Temp/picturecompress_20210930180217/output_14.jpgoutput_14"/>
                          <pic:cNvPicPr>
                            <a:picLocks noChangeAspect="1"/>
                          </pic:cNvPicPr>
                        </pic:nvPicPr>
                        <pic:blipFill>
                          <a:blip r:embed="rId34"/>
                          <a:srcRect/>
                          <a:stretch>
                            <a:fillRect/>
                          </a:stretch>
                        </pic:blipFill>
                        <pic:spPr>
                          <a:xfrm>
                            <a:off x="0" y="0"/>
                            <a:ext cx="2375535" cy="2098675"/>
                          </a:xfrm>
                          <a:prstGeom prst="rect">
                            <a:avLst/>
                          </a:prstGeom>
                        </pic:spPr>
                      </pic:pic>
                    </a:graphicData>
                  </a:graphic>
                </wp:inline>
              </w:drawing>
            </w:r>
          </w:p>
        </w:tc>
        <w:tc>
          <w:tcPr>
            <w:tcW w:w="2498" w:type="pct"/>
            <w:gridSpan w:val="5"/>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eastAsia="zh-CN"/>
              </w:rPr>
            </w:pPr>
            <w:r>
              <w:rPr>
                <w:rFonts w:hint="default" w:ascii="Times New Roman" w:hAnsi="Times New Roman" w:eastAsia="宋体" w:cs="Times New Roman"/>
                <w:kern w:val="2"/>
                <w:sz w:val="21"/>
                <w:szCs w:val="21"/>
                <w:vertAlign w:val="baseline"/>
                <w:lang w:val="en-US" w:eastAsia="zh-CN" w:bidi="ar-SA"/>
              </w:rPr>
              <w:drawing>
                <wp:inline distT="0" distB="0" distL="114300" distR="114300">
                  <wp:extent cx="2715260" cy="2038350"/>
                  <wp:effectExtent l="0" t="0" r="12700" b="3810"/>
                  <wp:docPr id="35" name="图片 35" descr="C:/Users/Administrator/AppData/Local/Temp/picturecompress_20210930180217/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Temp/picturecompress_20210930180217/output_15.jpgoutput_15"/>
                          <pic:cNvPicPr>
                            <a:picLocks noChangeAspect="1"/>
                          </pic:cNvPicPr>
                        </pic:nvPicPr>
                        <pic:blipFill>
                          <a:blip r:embed="rId35"/>
                          <a:stretch>
                            <a:fillRect/>
                          </a:stretch>
                        </pic:blipFill>
                        <pic:spPr>
                          <a:xfrm>
                            <a:off x="0" y="0"/>
                            <a:ext cx="2715260" cy="203835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2" w:hRule="atLeast"/>
        </w:trPr>
        <w:tc>
          <w:tcPr>
            <w:tcW w:w="2501" w:type="pct"/>
            <w:gridSpan w:val="6"/>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eastAsiaTheme="minorEastAsia"/>
                <w:kern w:val="2"/>
                <w:sz w:val="21"/>
                <w:szCs w:val="21"/>
                <w:lang w:eastAsia="zh-CN"/>
              </w:rPr>
              <w:drawing>
                <wp:inline distT="0" distB="0" distL="114300" distR="114300">
                  <wp:extent cx="2174875" cy="2067560"/>
                  <wp:effectExtent l="0" t="0" r="4445" b="5080"/>
                  <wp:docPr id="38" name="图片 38" descr="C:/Users/Administrator/AppData/Local/Temp/picturecompress_20210930180217/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Local/Temp/picturecompress_20210930180217/output_16.jpgoutput_16"/>
                          <pic:cNvPicPr>
                            <a:picLocks noChangeAspect="1"/>
                          </pic:cNvPicPr>
                        </pic:nvPicPr>
                        <pic:blipFill>
                          <a:blip r:embed="rId36"/>
                          <a:srcRect/>
                          <a:stretch>
                            <a:fillRect/>
                          </a:stretch>
                        </pic:blipFill>
                        <pic:spPr>
                          <a:xfrm>
                            <a:off x="0" y="0"/>
                            <a:ext cx="2174875" cy="2067560"/>
                          </a:xfrm>
                          <a:prstGeom prst="rect">
                            <a:avLst/>
                          </a:prstGeom>
                        </pic:spPr>
                      </pic:pic>
                    </a:graphicData>
                  </a:graphic>
                </wp:inline>
              </w:drawing>
            </w:r>
          </w:p>
        </w:tc>
        <w:tc>
          <w:tcPr>
            <w:tcW w:w="2498" w:type="pct"/>
            <w:gridSpan w:val="5"/>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eastAsia="zh-CN"/>
              </w:rPr>
            </w:pPr>
            <w:r>
              <w:rPr>
                <w:rFonts w:hint="default" w:ascii="Times New Roman" w:hAnsi="Times New Roman" w:eastAsia="宋体" w:cs="Times New Roman"/>
                <w:kern w:val="2"/>
                <w:sz w:val="21"/>
                <w:szCs w:val="21"/>
                <w:vertAlign w:val="baseline"/>
                <w:lang w:val="en-US" w:eastAsia="zh-CN" w:bidi="ar-SA"/>
              </w:rPr>
              <w:drawing>
                <wp:inline distT="0" distB="0" distL="114300" distR="114300">
                  <wp:extent cx="1797685" cy="2093595"/>
                  <wp:effectExtent l="0" t="0" r="635" b="9525"/>
                  <wp:docPr id="39" name="图片 39" descr="C:/Users/Administrator/AppData/Local/Temp/picturecompress_20210930180217/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Local/Temp/picturecompress_20210930180217/output_17.jpgoutput_17"/>
                          <pic:cNvPicPr>
                            <a:picLocks noChangeAspect="1"/>
                          </pic:cNvPicPr>
                        </pic:nvPicPr>
                        <pic:blipFill>
                          <a:blip r:embed="rId37"/>
                          <a:srcRect/>
                          <a:stretch>
                            <a:fillRect/>
                          </a:stretch>
                        </pic:blipFill>
                        <pic:spPr>
                          <a:xfrm>
                            <a:off x="0" y="0"/>
                            <a:ext cx="1797685" cy="2093595"/>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000" w:type="pct"/>
            <w:gridSpan w:val="11"/>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图4-</w:t>
            </w:r>
            <w:r>
              <w:rPr>
                <w:rFonts w:hint="default" w:ascii="Times New Roman" w:hAnsi="Times New Roman" w:cs="Times New Roman" w:eastAsiaTheme="minorEastAsia"/>
                <w:kern w:val="2"/>
                <w:sz w:val="21"/>
                <w:szCs w:val="21"/>
                <w:lang w:val="en-US" w:eastAsia="zh-CN"/>
              </w:rPr>
              <w:t>1</w:t>
            </w:r>
            <w:r>
              <w:rPr>
                <w:rFonts w:hint="default" w:ascii="Times New Roman" w:hAnsi="Times New Roman" w:cs="Times New Roman" w:eastAsiaTheme="minorEastAsia"/>
                <w:kern w:val="2"/>
                <w:sz w:val="21"/>
                <w:szCs w:val="21"/>
              </w:rPr>
              <w:t xml:space="preserve">  直接接地的接地储罐</w:t>
            </w:r>
          </w:p>
        </w:tc>
      </w:tr>
    </w:tbl>
    <w:p>
      <w:pPr>
        <w:keepNext w:val="0"/>
        <w:keepLines w:val="0"/>
        <w:pageBreakBefore w:val="0"/>
        <w:widowControl/>
        <w:kinsoku/>
        <w:wordWrap/>
        <w:overflowPunct/>
        <w:topLinePunct w:val="0"/>
        <w:autoSpaceDE/>
        <w:autoSpaceDN/>
        <w:bidi w:val="0"/>
        <w:adjustRightInd w:val="0"/>
        <w:snapToGrid w:val="0"/>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w:t>
      </w:r>
      <w:r>
        <w:rPr>
          <w:rFonts w:hint="default" w:ascii="Times New Roman" w:hAnsi="Times New Roman" w:cs="Times New Roman"/>
          <w:sz w:val="28"/>
          <w:szCs w:val="28"/>
          <w:highlight w:val="none"/>
        </w:rPr>
        <w:t>.1.</w:t>
      </w:r>
      <w:r>
        <w:rPr>
          <w:rFonts w:hint="default" w:ascii="Times New Roman" w:hAnsi="Times New Roman" w:cs="Times New Roman"/>
          <w:sz w:val="28"/>
          <w:szCs w:val="28"/>
          <w:highlight w:val="none"/>
          <w:lang w:val="en-US" w:eastAsia="zh-CN"/>
        </w:rPr>
        <w:t>3</w:t>
      </w:r>
      <w:r>
        <w:rPr>
          <w:rFonts w:hint="default" w:ascii="Times New Roman" w:hAnsi="Times New Roman" w:cs="Times New Roman"/>
          <w:sz w:val="28"/>
          <w:szCs w:val="28"/>
          <w:highlight w:val="none"/>
        </w:rPr>
        <w:t>离地储罐</w:t>
      </w:r>
    </w:p>
    <w:p>
      <w:pPr>
        <w:ind w:firstLine="560"/>
        <w:rPr>
          <w:rFonts w:ascii="Times New Roman" w:hAnsi="Times New Roman" w:cs="Times New Roman" w:eastAsiaTheme="minorEastAsia"/>
          <w:szCs w:val="28"/>
        </w:rPr>
      </w:pPr>
      <w:r>
        <w:rPr>
          <w:rFonts w:hint="eastAsia" w:ascii="Times New Roman" w:hAnsi="Times New Roman" w:cs="Times New Roman" w:eastAsiaTheme="minorEastAsia"/>
          <w:szCs w:val="28"/>
        </w:rPr>
        <w:t>工业生产活动中如果存在泄露的、地面硬化设施不完善的离地储罐，极易产生土壤污染。</w:t>
      </w:r>
    </w:p>
    <w:p>
      <w:pPr>
        <w:keepNext w:val="0"/>
        <w:keepLines w:val="0"/>
        <w:pageBreakBefore w:val="0"/>
        <w:widowControl/>
        <w:kinsoku/>
        <w:wordWrap/>
        <w:overflowPunct/>
        <w:topLinePunct w:val="0"/>
        <w:autoSpaceDE/>
        <w:autoSpaceDN/>
        <w:bidi w:val="0"/>
        <w:adjustRightInd w:val="0"/>
        <w:snapToGrid w:val="0"/>
        <w:ind w:left="0" w:leftChars="0" w:firstLine="560" w:firstLineChars="200"/>
        <w:textAlignment w:val="auto"/>
        <w:rPr>
          <w:rFonts w:hint="eastAsia" w:cs="Times New Roman" w:eastAsiaTheme="minorEastAsia"/>
          <w:szCs w:val="28"/>
        </w:rPr>
      </w:pPr>
      <w:r>
        <w:rPr>
          <w:rFonts w:hint="eastAsia" w:cs="Times New Roman" w:eastAsiaTheme="minorEastAsia"/>
          <w:szCs w:val="28"/>
        </w:rPr>
        <w:t>采取</w:t>
      </w:r>
      <w:r>
        <w:rPr>
          <w:rFonts w:hint="eastAsia" w:cs="Times New Roman"/>
          <w:szCs w:val="28"/>
        </w:rPr>
        <w:t>在储罐下设计和建设防渗漏</w:t>
      </w:r>
      <w:r>
        <w:rPr>
          <w:rFonts w:hint="eastAsia" w:cs="Times New Roman" w:eastAsiaTheme="minorEastAsia"/>
          <w:szCs w:val="28"/>
        </w:rPr>
        <w:t>设施；给罐体配置溢流收集装置；定期检查罐体渗漏情况；定期检查进料口、进料管道、出料口和溢流收集装置；定期维护罐体等措施，能够有效预防离地储罐对土壤的污染。</w:t>
      </w:r>
    </w:p>
    <w:p>
      <w:pPr>
        <w:keepNext w:val="0"/>
        <w:keepLines w:val="0"/>
        <w:pageBreakBefore w:val="0"/>
        <w:widowControl/>
        <w:kinsoku/>
        <w:wordWrap/>
        <w:overflowPunct/>
        <w:topLinePunct w:val="0"/>
        <w:autoSpaceDE/>
        <w:autoSpaceDN/>
        <w:bidi w:val="0"/>
        <w:adjustRightInd w:val="0"/>
        <w:snapToGrid w:val="0"/>
        <w:ind w:left="0" w:leftChars="0" w:firstLine="560" w:firstLineChars="200"/>
        <w:jc w:val="both"/>
        <w:textAlignment w:val="auto"/>
        <w:rPr>
          <w:rFonts w:hint="eastAsia" w:ascii="Times New Roman" w:eastAsia="宋体" w:cs="Times New Roman"/>
          <w:lang w:eastAsia="zh-CN"/>
        </w:rPr>
      </w:pPr>
      <w:r>
        <w:rPr>
          <w:rFonts w:hint="eastAsia"/>
        </w:rPr>
        <w:t>本项目离地储</w:t>
      </w:r>
      <w:r>
        <w:rPr>
          <w:rFonts w:ascii="Times New Roman" w:cs="Times New Roman"/>
        </w:rPr>
        <w:t>罐共</w:t>
      </w:r>
      <w:r>
        <w:rPr>
          <w:rFonts w:hint="eastAsia" w:ascii="Times New Roman" w:hAnsi="Times New Roman" w:cs="Times New Roman"/>
          <w:lang w:val="en-US" w:eastAsia="zh-CN"/>
        </w:rPr>
        <w:t>28</w:t>
      </w:r>
      <w:r>
        <w:rPr>
          <w:rFonts w:ascii="Times New Roman" w:cs="Times New Roman"/>
        </w:rPr>
        <w:t>个</w:t>
      </w:r>
      <w:r>
        <w:rPr>
          <w:rFonts w:hint="eastAsia" w:ascii="Times New Roman" w:cs="Times New Roman"/>
          <w:lang w:val="en-US" w:eastAsia="zh-CN"/>
        </w:rPr>
        <w:t>。</w:t>
      </w:r>
      <w:r>
        <w:rPr>
          <w:rFonts w:ascii="Times New Roman" w:cs="Times New Roman"/>
        </w:rPr>
        <w:t>其中</w:t>
      </w:r>
      <w:r>
        <w:rPr>
          <w:rFonts w:hint="eastAsia" w:ascii="Times New Roman" w:cs="Times New Roman"/>
        </w:rPr>
        <w:t>硫酸贮罐</w:t>
      </w:r>
      <w:r>
        <w:rPr>
          <w:rFonts w:hint="eastAsia" w:ascii="Times New Roman" w:cs="Times New Roman"/>
          <w:lang w:val="en-US" w:eastAsia="zh-CN"/>
        </w:rPr>
        <w:t>1个，位于</w:t>
      </w:r>
      <w:r>
        <w:rPr>
          <w:rFonts w:hint="eastAsia" w:ascii="Times New Roman" w:cs="Times New Roman"/>
        </w:rPr>
        <w:t>硫酸罐区</w:t>
      </w:r>
      <w:r>
        <w:rPr>
          <w:rFonts w:hint="eastAsia" w:ascii="Times New Roman" w:cs="Times New Roman"/>
          <w:lang w:eastAsia="zh-CN"/>
        </w:rPr>
        <w:t>；</w:t>
      </w:r>
      <w:r>
        <w:rPr>
          <w:rFonts w:hint="eastAsia" w:ascii="Times New Roman" w:cs="Times New Roman"/>
        </w:rPr>
        <w:t>二氧化硫中转罐</w:t>
      </w:r>
      <w:r>
        <w:rPr>
          <w:rFonts w:hint="eastAsia" w:ascii="Times New Roman" w:cs="Times New Roman"/>
          <w:lang w:val="en-US" w:eastAsia="zh-CN"/>
        </w:rPr>
        <w:t>1个、</w:t>
      </w:r>
      <w:r>
        <w:rPr>
          <w:rFonts w:hint="eastAsia" w:ascii="Times New Roman" w:cs="Times New Roman"/>
        </w:rPr>
        <w:t>二氧化硫储罐</w:t>
      </w:r>
      <w:r>
        <w:rPr>
          <w:rFonts w:hint="eastAsia" w:ascii="Times New Roman" w:cs="Times New Roman"/>
          <w:lang w:val="en-US" w:eastAsia="zh-CN"/>
        </w:rPr>
        <w:t>4个，位于</w:t>
      </w:r>
      <w:r>
        <w:rPr>
          <w:rFonts w:hint="eastAsia" w:ascii="Times New Roman" w:cs="Times New Roman"/>
        </w:rPr>
        <w:t>二氧化硫罐区</w:t>
      </w:r>
      <w:r>
        <w:rPr>
          <w:rFonts w:hint="eastAsia" w:ascii="Times New Roman" w:cs="Times New Roman"/>
          <w:lang w:eastAsia="zh-CN"/>
        </w:rPr>
        <w:t>；</w:t>
      </w:r>
      <w:r>
        <w:rPr>
          <w:rFonts w:hint="eastAsia" w:ascii="Times New Roman" w:cs="Times New Roman"/>
        </w:rPr>
        <w:t>保险粉二氧化硫中转罐</w:t>
      </w:r>
      <w:r>
        <w:rPr>
          <w:rFonts w:hint="eastAsia" w:ascii="Times New Roman" w:cs="Times New Roman"/>
          <w:lang w:val="en-US" w:eastAsia="zh-CN"/>
        </w:rPr>
        <w:t>2个、</w:t>
      </w:r>
      <w:r>
        <w:rPr>
          <w:rFonts w:hint="eastAsia" w:ascii="Times New Roman" w:cs="Times New Roman"/>
        </w:rPr>
        <w:t>合格母液贮罐</w:t>
      </w:r>
      <w:r>
        <w:rPr>
          <w:rFonts w:hint="eastAsia" w:ascii="Times New Roman" w:cs="Times New Roman"/>
          <w:lang w:val="en-US" w:eastAsia="zh-CN"/>
        </w:rPr>
        <w:t>1个、</w:t>
      </w:r>
      <w:r>
        <w:rPr>
          <w:rFonts w:hint="eastAsia" w:ascii="Times New Roman" w:cs="Times New Roman"/>
        </w:rPr>
        <w:t>不合格母液贮罐</w:t>
      </w:r>
      <w:r>
        <w:rPr>
          <w:rFonts w:hint="eastAsia" w:ascii="Times New Roman" w:cs="Times New Roman"/>
          <w:lang w:val="en-US" w:eastAsia="zh-CN"/>
        </w:rPr>
        <w:t>1个、</w:t>
      </w:r>
      <w:r>
        <w:rPr>
          <w:rFonts w:hint="eastAsia" w:ascii="Times New Roman" w:cs="Times New Roman"/>
        </w:rPr>
        <w:t>洗涤甲醇贮罐</w:t>
      </w:r>
      <w:r>
        <w:rPr>
          <w:rFonts w:hint="eastAsia" w:ascii="Times New Roman" w:cs="Times New Roman"/>
          <w:lang w:val="en-US" w:eastAsia="zh-CN"/>
        </w:rPr>
        <w:t>1个、</w:t>
      </w:r>
      <w:r>
        <w:rPr>
          <w:rFonts w:hint="eastAsia" w:ascii="Times New Roman" w:cs="Times New Roman"/>
        </w:rPr>
        <w:t>干燥热水贮罐</w:t>
      </w:r>
      <w:r>
        <w:rPr>
          <w:rFonts w:hint="eastAsia" w:ascii="Times New Roman" w:cs="Times New Roman"/>
          <w:lang w:val="en-US" w:eastAsia="zh-CN"/>
        </w:rPr>
        <w:t>1个、</w:t>
      </w:r>
      <w:r>
        <w:rPr>
          <w:rFonts w:hint="eastAsia" w:ascii="Times New Roman" w:cs="Times New Roman"/>
        </w:rPr>
        <w:t>中和液贮罐</w:t>
      </w:r>
      <w:r>
        <w:rPr>
          <w:rFonts w:hint="eastAsia" w:ascii="Times New Roman" w:cs="Times New Roman"/>
          <w:lang w:val="en-US" w:eastAsia="zh-CN"/>
        </w:rPr>
        <w:t>1个均位于</w:t>
      </w:r>
      <w:r>
        <w:rPr>
          <w:rFonts w:hint="eastAsia" w:ascii="Times New Roman" w:cs="Times New Roman"/>
        </w:rPr>
        <w:t>保险粉一套中转罐区</w:t>
      </w:r>
      <w:r>
        <w:rPr>
          <w:rFonts w:hint="eastAsia" w:ascii="Times New Roman" w:cs="Times New Roman"/>
          <w:lang w:eastAsia="zh-CN"/>
        </w:rPr>
        <w:t>；</w:t>
      </w:r>
      <w:r>
        <w:rPr>
          <w:rFonts w:hint="eastAsia" w:ascii="Times New Roman" w:cs="Times New Roman"/>
        </w:rPr>
        <w:t>保险粉二氧化硫中转罐</w:t>
      </w:r>
      <w:r>
        <w:rPr>
          <w:rFonts w:hint="eastAsia" w:ascii="Times New Roman" w:cs="Times New Roman"/>
          <w:lang w:val="en-US" w:eastAsia="zh-CN"/>
        </w:rPr>
        <w:t>2个、</w:t>
      </w:r>
      <w:r>
        <w:rPr>
          <w:rFonts w:hint="eastAsia" w:ascii="Times New Roman" w:cs="Times New Roman"/>
        </w:rPr>
        <w:t>合格母液贮罐</w:t>
      </w:r>
      <w:r>
        <w:rPr>
          <w:rFonts w:hint="eastAsia" w:ascii="Times New Roman" w:cs="Times New Roman"/>
          <w:lang w:val="en-US" w:eastAsia="zh-CN"/>
        </w:rPr>
        <w:t>1个、</w:t>
      </w:r>
      <w:r>
        <w:rPr>
          <w:rFonts w:hint="eastAsia" w:ascii="Times New Roman" w:cs="Times New Roman"/>
        </w:rPr>
        <w:t>不合格母液贮罐</w:t>
      </w:r>
      <w:r>
        <w:rPr>
          <w:rFonts w:hint="eastAsia" w:ascii="Times New Roman" w:cs="Times New Roman"/>
          <w:lang w:val="en-US" w:eastAsia="zh-CN"/>
        </w:rPr>
        <w:t>1个、</w:t>
      </w:r>
      <w:r>
        <w:rPr>
          <w:rFonts w:hint="eastAsia" w:ascii="Times New Roman" w:cs="Times New Roman"/>
        </w:rPr>
        <w:t>洗涤甲醇贮罐</w:t>
      </w:r>
      <w:r>
        <w:rPr>
          <w:rFonts w:hint="eastAsia" w:ascii="Times New Roman" w:cs="Times New Roman"/>
          <w:lang w:val="en-US" w:eastAsia="zh-CN"/>
        </w:rPr>
        <w:t>1个、</w:t>
      </w:r>
      <w:r>
        <w:rPr>
          <w:rFonts w:hint="eastAsia" w:ascii="Times New Roman" w:cs="Times New Roman"/>
        </w:rPr>
        <w:t>干燥热水贮罐</w:t>
      </w:r>
      <w:r>
        <w:rPr>
          <w:rFonts w:hint="eastAsia" w:ascii="Times New Roman" w:cs="Times New Roman"/>
          <w:lang w:val="en-US" w:eastAsia="zh-CN"/>
        </w:rPr>
        <w:t>1个、</w:t>
      </w:r>
      <w:r>
        <w:rPr>
          <w:rFonts w:hint="eastAsia" w:ascii="Times New Roman" w:cs="Times New Roman"/>
        </w:rPr>
        <w:t>中和液贮罐</w:t>
      </w:r>
      <w:r>
        <w:rPr>
          <w:rFonts w:hint="eastAsia" w:ascii="Times New Roman" w:cs="Times New Roman"/>
          <w:lang w:val="en-US" w:eastAsia="zh-CN"/>
        </w:rPr>
        <w:t>1个均位于</w:t>
      </w:r>
      <w:r>
        <w:rPr>
          <w:rFonts w:hint="eastAsia" w:ascii="Times New Roman" w:cs="Times New Roman"/>
        </w:rPr>
        <w:t>保险粉</w:t>
      </w:r>
      <w:r>
        <w:rPr>
          <w:rFonts w:hint="eastAsia" w:ascii="Times New Roman" w:cs="Times New Roman"/>
          <w:lang w:val="en-US" w:eastAsia="zh-CN"/>
        </w:rPr>
        <w:t>二</w:t>
      </w:r>
      <w:r>
        <w:rPr>
          <w:rFonts w:hint="eastAsia" w:ascii="Times New Roman" w:cs="Times New Roman"/>
        </w:rPr>
        <w:t>套中转罐区</w:t>
      </w:r>
      <w:r>
        <w:rPr>
          <w:rFonts w:hint="eastAsia" w:ascii="Times New Roman" w:cs="Times New Roman"/>
          <w:lang w:eastAsia="zh-CN"/>
        </w:rPr>
        <w:t>；</w:t>
      </w:r>
      <w:r>
        <w:rPr>
          <w:rFonts w:hint="eastAsia" w:ascii="Times New Roman" w:cs="Times New Roman"/>
        </w:rPr>
        <w:t>精甲醇中转罐</w:t>
      </w:r>
      <w:r>
        <w:rPr>
          <w:rFonts w:hint="eastAsia" w:ascii="Times New Roman" w:cs="Times New Roman"/>
          <w:lang w:eastAsia="zh-CN"/>
        </w:rPr>
        <w:t>、</w:t>
      </w:r>
      <w:r>
        <w:rPr>
          <w:rFonts w:hint="eastAsia" w:ascii="Times New Roman" w:cs="Times New Roman"/>
        </w:rPr>
        <w:t>残液贮罐</w:t>
      </w:r>
      <w:r>
        <w:rPr>
          <w:rFonts w:hint="eastAsia" w:ascii="Times New Roman" w:cs="Times New Roman"/>
          <w:lang w:eastAsia="zh-CN"/>
        </w:rPr>
        <w:t>、</w:t>
      </w:r>
      <w:r>
        <w:rPr>
          <w:rFonts w:hint="eastAsia" w:ascii="Times New Roman" w:cs="Times New Roman"/>
        </w:rPr>
        <w:t>一次蒸汽冷凝水罐</w:t>
      </w:r>
      <w:r>
        <w:rPr>
          <w:rFonts w:hint="eastAsia" w:ascii="Times New Roman" w:cs="Times New Roman"/>
          <w:lang w:eastAsia="zh-CN"/>
        </w:rPr>
        <w:t>、</w:t>
      </w:r>
      <w:r>
        <w:rPr>
          <w:rFonts w:hint="eastAsia" w:ascii="Times New Roman" w:cs="Times New Roman"/>
        </w:rPr>
        <w:t>残液处理母液罐</w:t>
      </w:r>
      <w:r>
        <w:rPr>
          <w:rFonts w:hint="eastAsia" w:ascii="Times New Roman" w:cs="Times New Roman"/>
          <w:lang w:eastAsia="zh-CN"/>
        </w:rPr>
        <w:t>、</w:t>
      </w:r>
      <w:r>
        <w:rPr>
          <w:rFonts w:hint="eastAsia" w:ascii="Times New Roman" w:cs="Times New Roman"/>
        </w:rPr>
        <w:t>冷凝甲醇罐</w:t>
      </w:r>
      <w:r>
        <w:rPr>
          <w:rFonts w:hint="eastAsia" w:ascii="Times New Roman" w:cs="Times New Roman"/>
          <w:lang w:eastAsia="zh-CN"/>
        </w:rPr>
        <w:t>、</w:t>
      </w:r>
      <w:r>
        <w:rPr>
          <w:rFonts w:hint="eastAsia" w:ascii="Times New Roman" w:cs="Times New Roman"/>
        </w:rPr>
        <w:t>残液冷凝水罐</w:t>
      </w:r>
      <w:r>
        <w:rPr>
          <w:rFonts w:hint="eastAsia" w:ascii="Times New Roman" w:cs="Times New Roman"/>
          <w:lang w:val="en-US" w:eastAsia="zh-CN"/>
        </w:rPr>
        <w:t>各1个，位于</w:t>
      </w:r>
      <w:r>
        <w:rPr>
          <w:rFonts w:hint="eastAsia" w:ascii="Times New Roman" w:cs="Times New Roman"/>
        </w:rPr>
        <w:t>精馏罐区</w:t>
      </w:r>
      <w:r>
        <w:rPr>
          <w:rFonts w:hint="eastAsia" w:ascii="Times New Roman" w:cs="Times New Roman"/>
          <w:lang w:eastAsia="zh-CN"/>
        </w:rPr>
        <w:t>；</w:t>
      </w:r>
      <w:r>
        <w:rPr>
          <w:rFonts w:hint="eastAsia" w:ascii="Times New Roman" w:cs="Times New Roman"/>
        </w:rPr>
        <w:t>贮氨器</w:t>
      </w:r>
      <w:r>
        <w:rPr>
          <w:rFonts w:hint="eastAsia" w:ascii="Times New Roman" w:cs="Times New Roman"/>
          <w:lang w:val="en-US" w:eastAsia="zh-CN"/>
        </w:rPr>
        <w:t>1个，位于</w:t>
      </w:r>
      <w:r>
        <w:rPr>
          <w:rFonts w:hint="eastAsia" w:ascii="Times New Roman" w:cs="Times New Roman"/>
        </w:rPr>
        <w:t>氨制冷一楼</w:t>
      </w:r>
      <w:r>
        <w:rPr>
          <w:rFonts w:hint="eastAsia" w:ascii="Times New Roman" w:cs="Times New Roman"/>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cs="Times New Roman"/>
        </w:rPr>
      </w:pPr>
      <w:r>
        <w:rPr>
          <w:rFonts w:hint="eastAsia" w:ascii="Times New Roman" w:cs="Times New Roman"/>
          <w:lang w:val="en-US" w:eastAsia="zh-CN"/>
        </w:rPr>
        <w:t>储罐材质为不锈钢或碳钢材质，</w:t>
      </w:r>
      <w:r>
        <w:rPr>
          <w:rFonts w:hint="eastAsia" w:ascii="Times New Roman" w:cs="Times New Roman"/>
        </w:rPr>
        <w:t>职工定期检查，确保储罐区不产生泄露、渗漏等情况。</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rPr>
      </w:pPr>
      <w:r>
        <w:rPr>
          <w:rFonts w:ascii="Times New Roman" w:cs="Times New Roman" w:hAnsiTheme="minorEastAsia" w:eastAsiaTheme="minorEastAsia"/>
          <w:b/>
          <w:bCs/>
          <w:sz w:val="24"/>
        </w:rPr>
        <w:t>表</w:t>
      </w:r>
      <w:r>
        <w:rPr>
          <w:rFonts w:ascii="Times New Roman" w:hAnsi="Times New Roman" w:cs="Times New Roman" w:eastAsiaTheme="minorEastAsia"/>
          <w:b/>
          <w:bCs/>
          <w:sz w:val="24"/>
        </w:rPr>
        <w:t>4</w:t>
      </w:r>
      <w:r>
        <w:rPr>
          <w:rFonts w:hint="eastAsia" w:ascii="Times New Roman" w:hAnsi="Times New Roman" w:cs="Times New Roman" w:eastAsiaTheme="minorEastAsia"/>
          <w:b/>
          <w:bCs/>
          <w:sz w:val="24"/>
        </w:rPr>
        <w:t>-</w:t>
      </w:r>
      <w:r>
        <w:rPr>
          <w:rFonts w:hint="eastAsia" w:ascii="Times New Roman" w:hAnsi="Times New Roman" w:cs="Times New Roman" w:eastAsiaTheme="minorEastAsia"/>
          <w:b/>
          <w:bCs/>
          <w:sz w:val="24"/>
          <w:lang w:val="en-US" w:eastAsia="zh-CN"/>
        </w:rPr>
        <w:t>2</w:t>
      </w:r>
      <w:r>
        <w:rPr>
          <w:rFonts w:ascii="Times New Roman" w:hAnsi="Times New Roman" w:cs="Times New Roman" w:eastAsiaTheme="minorEastAsia"/>
          <w:b/>
          <w:bCs/>
          <w:sz w:val="24"/>
        </w:rPr>
        <w:t xml:space="preserve">   </w:t>
      </w:r>
      <w:r>
        <w:rPr>
          <w:rFonts w:ascii="Times New Roman" w:cs="Times New Roman" w:hAnsiTheme="minorEastAsia" w:eastAsiaTheme="minorEastAsia"/>
          <w:b/>
          <w:bCs/>
          <w:sz w:val="24"/>
        </w:rPr>
        <w:t>离地储罐</w:t>
      </w:r>
      <w:r>
        <w:rPr>
          <w:rFonts w:ascii="Times New Roman" w:cs="Times New Roman" w:hAnsiTheme="minorEastAsia" w:eastAsiaTheme="minorEastAsia"/>
          <w:b/>
          <w:bCs/>
          <w:sz w:val="24"/>
          <w:szCs w:val="24"/>
        </w:rPr>
        <w:t>排查重点</w:t>
      </w:r>
    </w:p>
    <w:tbl>
      <w:tblPr>
        <w:tblStyle w:val="67"/>
        <w:tblW w:w="5021"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655"/>
        <w:gridCol w:w="902"/>
        <w:gridCol w:w="905"/>
        <w:gridCol w:w="808"/>
        <w:gridCol w:w="554"/>
        <w:gridCol w:w="303"/>
        <w:gridCol w:w="1891"/>
        <w:gridCol w:w="827"/>
        <w:gridCol w:w="999"/>
        <w:gridCol w:w="92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名称</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数量</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规格</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材质</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使用情况</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存储污染</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防护措施</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日常管理</w:t>
            </w:r>
          </w:p>
        </w:tc>
        <w:tc>
          <w:tcPr>
            <w:tcW w:w="504"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造成土壤污染的方式</w:t>
            </w:r>
          </w:p>
        </w:tc>
        <w:tc>
          <w:tcPr>
            <w:tcW w:w="46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kern w:val="2"/>
                <w:sz w:val="21"/>
                <w:szCs w:val="21"/>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824" w:hRule="atLeast"/>
        </w:trPr>
        <w:tc>
          <w:tcPr>
            <w:tcW w:w="56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rPr>
              <w:t>硫酸贮罐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vertAlign w:val="baseline"/>
                <w:lang w:val="en-US" w:eastAsia="zh-CN"/>
              </w:rPr>
              <w:t>90m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碳钢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rPr>
              <w:t>二氧化硫中转罐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kern w:val="2"/>
                <w:sz w:val="21"/>
                <w:szCs w:val="21"/>
                <w:vertAlign w:val="baseline"/>
                <w:lang w:val="en-US" w:eastAsia="zh-CN"/>
              </w:rPr>
              <w:t>4m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rPr>
              <w:t>二氧化硫储罐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4</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50m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lang w:eastAsia="zh-CN"/>
              </w:rPr>
              <w:t>保险粉</w:t>
            </w:r>
            <w:r>
              <w:rPr>
                <w:rFonts w:hint="default" w:ascii="Times New Roman" w:hAnsi="Times New Roman" w:cs="Times New Roman"/>
                <w:color w:val="auto"/>
                <w:kern w:val="0"/>
                <w:sz w:val="21"/>
                <w:szCs w:val="21"/>
                <w:highlight w:val="none"/>
              </w:rPr>
              <w:t>二氧化硫</w:t>
            </w:r>
            <w:r>
              <w:rPr>
                <w:rFonts w:hint="default" w:ascii="Times New Roman" w:hAnsi="Times New Roman" w:cs="Times New Roman"/>
                <w:color w:val="auto"/>
                <w:kern w:val="0"/>
                <w:sz w:val="21"/>
                <w:szCs w:val="21"/>
                <w:highlight w:val="none"/>
                <w:lang w:eastAsia="zh-CN"/>
              </w:rPr>
              <w:t>中转</w:t>
            </w:r>
            <w:r>
              <w:rPr>
                <w:rFonts w:hint="default" w:ascii="Times New Roman" w:hAnsi="Times New Roman" w:cs="Times New Roman"/>
                <w:color w:val="auto"/>
                <w:kern w:val="0"/>
                <w:sz w:val="21"/>
                <w:szCs w:val="21"/>
                <w:highlight w:val="none"/>
              </w:rPr>
              <w:t>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bidi="ar-SA"/>
              </w:rPr>
              <w:t>4</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kern w:val="2"/>
                <w:sz w:val="21"/>
                <w:szCs w:val="21"/>
                <w:vertAlign w:val="baseline"/>
                <w:lang w:val="en-US" w:eastAsia="zh-CN"/>
              </w:rPr>
              <w:t>50m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碳钢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rPr>
              <w:t>合格母液贮罐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kern w:val="2"/>
                <w:sz w:val="21"/>
                <w:szCs w:val="21"/>
                <w:vertAlign w:val="baseline"/>
                <w:lang w:val="en-US" w:eastAsia="zh-CN"/>
              </w:rPr>
              <w:t>50m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碳钢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rPr>
              <w:t>不合格母液贮罐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kern w:val="2"/>
                <w:sz w:val="21"/>
                <w:szCs w:val="21"/>
                <w:vertAlign w:val="baseline"/>
                <w:lang w:val="en-US" w:eastAsia="zh-CN"/>
              </w:rPr>
              <w:t>50m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碳钢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rPr>
              <w:t>洗涤甲醇贮罐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kern w:val="2"/>
                <w:sz w:val="21"/>
                <w:szCs w:val="21"/>
                <w:vertAlign w:val="baseline"/>
                <w:lang w:val="en-US" w:eastAsia="zh-CN"/>
              </w:rPr>
              <w:t>50m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碳钢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rPr>
              <w:t>干燥热水贮罐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kern w:val="2"/>
                <w:sz w:val="21"/>
                <w:szCs w:val="21"/>
                <w:vertAlign w:val="baseline"/>
                <w:lang w:val="en-US" w:eastAsia="zh-CN"/>
              </w:rPr>
              <w:t>50m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碳钢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0"/>
                <w:sz w:val="21"/>
                <w:szCs w:val="21"/>
                <w:highlight w:val="none"/>
              </w:rPr>
              <w:t>中和液贮罐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yellow"/>
                <w:lang w:val="en-US" w:eastAsia="zh-CN" w:bidi="ar-SA"/>
              </w:rPr>
            </w:pPr>
            <w:r>
              <w:rPr>
                <w:rFonts w:hint="default" w:ascii="Times New Roman" w:hAnsi="Times New Roman" w:cs="Times New Roman"/>
                <w:kern w:val="2"/>
                <w:sz w:val="21"/>
                <w:szCs w:val="21"/>
                <w:vertAlign w:val="baseline"/>
                <w:lang w:val="en-US" w:eastAsia="zh-CN"/>
              </w:rPr>
              <w:t>50m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精甲醇中转罐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24m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残液贮罐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52m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一次蒸汽冷凝水罐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24m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残液处理母液罐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24m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冷凝甲醇罐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24m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残液冷凝水罐</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1</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24m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8" w:type="pct"/>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rPr>
              <w:t>贮氨器</w:t>
            </w:r>
          </w:p>
        </w:tc>
        <w:tc>
          <w:tcPr>
            <w:tcW w:w="330"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rPr>
              <w:t>2</w:t>
            </w:r>
          </w:p>
        </w:tc>
        <w:tc>
          <w:tcPr>
            <w:tcW w:w="45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kern w:val="2"/>
                <w:sz w:val="21"/>
                <w:szCs w:val="21"/>
                <w:vertAlign w:val="baseline"/>
                <w:lang w:val="en-US" w:eastAsia="zh-CN"/>
              </w:rPr>
              <w:t>25m</w:t>
            </w:r>
            <w:r>
              <w:rPr>
                <w:rFonts w:hint="default" w:ascii="Times New Roman" w:hAnsi="Times New Roman" w:cs="Times New Roman"/>
                <w:kern w:val="2"/>
                <w:sz w:val="21"/>
                <w:szCs w:val="21"/>
                <w:vertAlign w:val="superscript"/>
                <w:lang w:val="en-US" w:eastAsia="zh-CN"/>
              </w:rPr>
              <w:t>3</w:t>
            </w:r>
          </w:p>
        </w:tc>
        <w:tc>
          <w:tcPr>
            <w:tcW w:w="457"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lang w:val="en-US" w:eastAsia="zh-CN"/>
              </w:rPr>
              <w:t>不锈钢</w:t>
            </w:r>
          </w:p>
        </w:tc>
        <w:tc>
          <w:tcPr>
            <w:tcW w:w="408"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在用</w:t>
            </w:r>
          </w:p>
        </w:tc>
        <w:tc>
          <w:tcPr>
            <w:tcW w:w="433" w:type="pct"/>
            <w:gridSpan w:val="2"/>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kern w:val="2"/>
                <w:sz w:val="21"/>
                <w:szCs w:val="21"/>
              </w:rPr>
              <w:t>渗漏、挥发</w:t>
            </w:r>
          </w:p>
        </w:tc>
        <w:tc>
          <w:tcPr>
            <w:tcW w:w="955"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地面水泥硬化，设置围堰</w:t>
            </w:r>
            <w:r>
              <w:rPr>
                <w:rFonts w:hint="default" w:ascii="Times New Roman" w:hAnsi="Times New Roman" w:cs="Times New Roman" w:eastAsiaTheme="minorEastAsia"/>
                <w:kern w:val="2"/>
                <w:sz w:val="21"/>
                <w:szCs w:val="21"/>
                <w:lang w:val="en-US" w:eastAsia="zh-CN"/>
              </w:rPr>
              <w:t>和溢流收集装置</w:t>
            </w:r>
          </w:p>
        </w:tc>
        <w:tc>
          <w:tcPr>
            <w:tcW w:w="417" w:type="pct"/>
            <w:tcBorders>
              <w:tl2br w:val="nil"/>
              <w:tr2bl w:val="nil"/>
            </w:tcBorders>
            <w:vAlign w:val="center"/>
          </w:tcPr>
          <w:p>
            <w:pPr>
              <w:pStyle w:val="20"/>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
              </w:rPr>
            </w:pPr>
            <w:r>
              <w:rPr>
                <w:rFonts w:hint="default" w:ascii="Times New Roman" w:hAnsi="Times New Roman" w:cs="Times New Roman" w:eastAsiaTheme="minorEastAsia"/>
                <w:bCs/>
                <w:kern w:val="2"/>
                <w:sz w:val="21"/>
                <w:szCs w:val="21"/>
              </w:rPr>
              <w:t>定期检查</w:t>
            </w:r>
          </w:p>
        </w:tc>
        <w:tc>
          <w:tcPr>
            <w:tcW w:w="504"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泄漏、滴漏</w:t>
            </w:r>
          </w:p>
        </w:tc>
        <w:tc>
          <w:tcPr>
            <w:tcW w:w="467" w:type="pc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2"/>
                <w:sz w:val="21"/>
                <w:szCs w:val="21"/>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9" w:hRule="atLeast"/>
        </w:trPr>
        <w:tc>
          <w:tcPr>
            <w:tcW w:w="2501" w:type="pct"/>
            <w:gridSpan w:val="6"/>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lang w:val="en-US" w:eastAsia="zh-CN" w:bidi="ar-SA"/>
              </w:rPr>
              <w:drawing>
                <wp:inline distT="0" distB="0" distL="114300" distR="114300">
                  <wp:extent cx="2357120" cy="1767840"/>
                  <wp:effectExtent l="0" t="0" r="5080" b="0"/>
                  <wp:docPr id="77" name="图片 77" descr="C:/Users/Administrator/AppData/Local/Temp/picturecompress_20210930180217/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AppData/Local/Temp/picturecompress_20210930180217/output_18.jpgoutput_18"/>
                          <pic:cNvPicPr>
                            <a:picLocks noChangeAspect="1"/>
                          </pic:cNvPicPr>
                        </pic:nvPicPr>
                        <pic:blipFill>
                          <a:blip r:embed="rId38"/>
                          <a:stretch>
                            <a:fillRect/>
                          </a:stretch>
                        </pic:blipFill>
                        <pic:spPr>
                          <a:xfrm>
                            <a:off x="0" y="0"/>
                            <a:ext cx="2357120" cy="1767840"/>
                          </a:xfrm>
                          <a:prstGeom prst="rect">
                            <a:avLst/>
                          </a:prstGeom>
                        </pic:spPr>
                      </pic:pic>
                    </a:graphicData>
                  </a:graphic>
                </wp:inline>
              </w:drawing>
            </w:r>
          </w:p>
        </w:tc>
        <w:tc>
          <w:tcPr>
            <w:tcW w:w="2498" w:type="pct"/>
            <w:gridSpan w:val="5"/>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eastAsia="zh-CN"/>
              </w:rPr>
            </w:pPr>
            <w:r>
              <w:rPr>
                <w:rFonts w:hint="default" w:ascii="Times New Roman" w:hAnsi="Times New Roman" w:eastAsia="宋体" w:cs="Times New Roman"/>
                <w:kern w:val="2"/>
                <w:sz w:val="21"/>
                <w:szCs w:val="21"/>
                <w:vertAlign w:val="baseline"/>
                <w:lang w:val="en-US" w:eastAsia="zh-CN" w:bidi="ar-SA"/>
              </w:rPr>
              <w:drawing>
                <wp:inline distT="0" distB="0" distL="114300" distR="114300">
                  <wp:extent cx="2360930" cy="1771650"/>
                  <wp:effectExtent l="0" t="0" r="1270" b="11430"/>
                  <wp:docPr id="43" name="图片 43" descr="C:/Users/Administrator/AppData/Local/Temp/picturecompress_20210930180217/output_19.jpgoutpu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Local/Temp/picturecompress_20210930180217/output_19.jpgoutput_19"/>
                          <pic:cNvPicPr>
                            <a:picLocks noChangeAspect="1"/>
                          </pic:cNvPicPr>
                        </pic:nvPicPr>
                        <pic:blipFill>
                          <a:blip r:embed="rId39"/>
                          <a:stretch>
                            <a:fillRect/>
                          </a:stretch>
                        </pic:blipFill>
                        <pic:spPr>
                          <a:xfrm>
                            <a:off x="0" y="0"/>
                            <a:ext cx="2360930" cy="177165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501" w:type="pct"/>
            <w:gridSpan w:val="6"/>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eastAsiaTheme="minorEastAsia"/>
                <w:kern w:val="2"/>
                <w:sz w:val="21"/>
                <w:szCs w:val="21"/>
                <w:lang w:eastAsia="zh-CN"/>
              </w:rPr>
              <w:drawing>
                <wp:inline distT="0" distB="0" distL="114300" distR="114300">
                  <wp:extent cx="2353310" cy="1765300"/>
                  <wp:effectExtent l="0" t="0" r="8890" b="2540"/>
                  <wp:docPr id="86" name="图片 86" descr="C:/Users/Administrator/AppData/Local/Temp/picturecompress_20210930180217/output_20.jpgoutpu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strator/AppData/Local/Temp/picturecompress_20210930180217/output_20.jpgoutput_20"/>
                          <pic:cNvPicPr>
                            <a:picLocks noChangeAspect="1"/>
                          </pic:cNvPicPr>
                        </pic:nvPicPr>
                        <pic:blipFill>
                          <a:blip r:embed="rId40"/>
                          <a:stretch>
                            <a:fillRect/>
                          </a:stretch>
                        </pic:blipFill>
                        <pic:spPr>
                          <a:xfrm>
                            <a:off x="0" y="0"/>
                            <a:ext cx="2353310" cy="1765300"/>
                          </a:xfrm>
                          <a:prstGeom prst="rect">
                            <a:avLst/>
                          </a:prstGeom>
                        </pic:spPr>
                      </pic:pic>
                    </a:graphicData>
                  </a:graphic>
                </wp:inline>
              </w:drawing>
            </w:r>
          </w:p>
        </w:tc>
        <w:tc>
          <w:tcPr>
            <w:tcW w:w="2498" w:type="pct"/>
            <w:gridSpan w:val="5"/>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eastAsiaTheme="minorEastAsia"/>
                <w:kern w:val="2"/>
                <w:sz w:val="21"/>
                <w:szCs w:val="21"/>
                <w:lang w:eastAsia="zh-CN"/>
              </w:rPr>
              <w:drawing>
                <wp:inline distT="0" distB="0" distL="114300" distR="114300">
                  <wp:extent cx="2399665" cy="1799590"/>
                  <wp:effectExtent l="0" t="0" r="8255" b="13970"/>
                  <wp:docPr id="107" name="图片 107" descr="C:/Users/Administrator/AppData/Local/Temp/picturecompress_20210930180217/output_21.jpgoutpu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Administrator/AppData/Local/Temp/picturecompress_20210930180217/output_21.jpgoutput_21"/>
                          <pic:cNvPicPr>
                            <a:picLocks noChangeAspect="1"/>
                          </pic:cNvPicPr>
                        </pic:nvPicPr>
                        <pic:blipFill>
                          <a:blip r:embed="rId41"/>
                          <a:stretch>
                            <a:fillRect/>
                          </a:stretch>
                        </pic:blipFill>
                        <pic:spPr>
                          <a:xfrm>
                            <a:off x="0" y="0"/>
                            <a:ext cx="2399665" cy="179959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4" w:hRule="atLeast"/>
        </w:trPr>
        <w:tc>
          <w:tcPr>
            <w:tcW w:w="2501" w:type="pct"/>
            <w:gridSpan w:val="6"/>
            <w:tcBorders>
              <w:tl2br w:val="nil"/>
              <w:tr2bl w:val="nil"/>
            </w:tcBorders>
            <w:vAlign w:val="center"/>
          </w:tcPr>
          <w:p>
            <w:pPr>
              <w:keepNext w:val="0"/>
              <w:keepLines w:val="0"/>
              <w:pageBreakBefore w:val="0"/>
              <w:widowControl/>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drawing>
                <wp:inline distT="0" distB="0" distL="114300" distR="114300">
                  <wp:extent cx="2399665" cy="1800860"/>
                  <wp:effectExtent l="0" t="0" r="8255" b="12700"/>
                  <wp:docPr id="83" name="图片 83" descr="C:/Users/Administrator/AppData/Local/Temp/picturecompress_20210930180217/output_22.jp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AppData/Local/Temp/picturecompress_20210930180217/output_22.jpgoutput_22"/>
                          <pic:cNvPicPr>
                            <a:picLocks noChangeAspect="1"/>
                          </pic:cNvPicPr>
                        </pic:nvPicPr>
                        <pic:blipFill>
                          <a:blip r:embed="rId42"/>
                          <a:stretch>
                            <a:fillRect/>
                          </a:stretch>
                        </pic:blipFill>
                        <pic:spPr>
                          <a:xfrm>
                            <a:off x="0" y="0"/>
                            <a:ext cx="2399665" cy="1800860"/>
                          </a:xfrm>
                          <a:prstGeom prst="rect">
                            <a:avLst/>
                          </a:prstGeom>
                        </pic:spPr>
                      </pic:pic>
                    </a:graphicData>
                  </a:graphic>
                </wp:inline>
              </w:drawing>
            </w:r>
          </w:p>
        </w:tc>
        <w:tc>
          <w:tcPr>
            <w:tcW w:w="2498" w:type="pct"/>
            <w:gridSpan w:val="5"/>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lang w:eastAsia="zh-CN"/>
              </w:rPr>
            </w:pPr>
            <w:r>
              <w:rPr>
                <w:rFonts w:hint="default" w:ascii="Times New Roman" w:hAnsi="Times New Roman" w:cs="Times New Roman" w:eastAsiaTheme="minorEastAsia"/>
                <w:kern w:val="2"/>
                <w:sz w:val="21"/>
                <w:szCs w:val="21"/>
                <w:lang w:eastAsia="zh-CN"/>
              </w:rPr>
              <w:drawing>
                <wp:inline distT="0" distB="0" distL="114300" distR="114300">
                  <wp:extent cx="2540635" cy="1905635"/>
                  <wp:effectExtent l="0" t="0" r="4445" b="14605"/>
                  <wp:docPr id="44" name="图片 44" descr="C:/Users/Administrator/AppData/Local/Temp/picturecompress_20210930180217/output_23.jpgoutpu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AppData/Local/Temp/picturecompress_20210930180217/output_23.jpgoutput_23"/>
                          <pic:cNvPicPr>
                            <a:picLocks noChangeAspect="1"/>
                          </pic:cNvPicPr>
                        </pic:nvPicPr>
                        <pic:blipFill>
                          <a:blip r:embed="rId43"/>
                          <a:stretch>
                            <a:fillRect/>
                          </a:stretch>
                        </pic:blipFill>
                        <pic:spPr>
                          <a:xfrm>
                            <a:off x="0" y="0"/>
                            <a:ext cx="2540635" cy="1905635"/>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000" w:type="pct"/>
            <w:gridSpan w:val="11"/>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图4-</w:t>
            </w:r>
            <w:r>
              <w:rPr>
                <w:rFonts w:hint="eastAsia" w:ascii="Times New Roman" w:hAnsi="Times New Roman" w:cs="Times New Roman" w:eastAsiaTheme="minorEastAsia"/>
                <w:kern w:val="2"/>
                <w:sz w:val="21"/>
                <w:szCs w:val="21"/>
                <w:lang w:val="en-US" w:eastAsia="zh-CN"/>
              </w:rPr>
              <w:t>2</w:t>
            </w:r>
            <w:r>
              <w:rPr>
                <w:rFonts w:hint="default" w:ascii="Times New Roman" w:hAnsi="Times New Roman" w:cs="Times New Roman" w:eastAsiaTheme="minorEastAsia"/>
                <w:kern w:val="2"/>
                <w:sz w:val="21"/>
                <w:szCs w:val="21"/>
              </w:rPr>
              <w:t xml:space="preserve">  离地储罐</w:t>
            </w:r>
          </w:p>
        </w:tc>
      </w:tr>
    </w:tbl>
    <w:p>
      <w:pPr>
        <w:spacing w:beforeLines="100"/>
        <w:ind w:left="0" w:leftChars="0" w:firstLine="560" w:firstLineChars="200"/>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lang w:val="en-US" w:eastAsia="zh-CN"/>
        </w:rPr>
        <w:t>4.1</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4</w:t>
      </w:r>
      <w:r>
        <w:rPr>
          <w:rFonts w:hint="default" w:ascii="Times New Roman" w:hAnsi="Times New Roman" w:cs="Times New Roman"/>
          <w:color w:val="auto"/>
          <w:sz w:val="28"/>
          <w:szCs w:val="28"/>
          <w:highlight w:val="none"/>
        </w:rPr>
        <w:t xml:space="preserve"> 储存坑/塘</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工业生产活动中如果存在无防渗设施的水坑或渗坑，极易产生土壤污染。</w:t>
      </w:r>
    </w:p>
    <w:p>
      <w:pPr>
        <w:ind w:firstLine="480"/>
        <w:rPr>
          <w:rFonts w:hint="default" w:ascii="Times New Roman" w:hAnsi="Times New Roman" w:cs="Times New Roman"/>
          <w:sz w:val="28"/>
          <w:szCs w:val="28"/>
          <w:highlight w:val="none"/>
        </w:rPr>
      </w:pP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开放式的液体储存装置也容易造成撒落或渗漏导致土壤污染。有完备管理措施和渗漏检测的密闭收集设施，土壤污染的可能性低</w:t>
      </w:r>
      <w:r>
        <w:rPr>
          <w:rFonts w:hint="default" w:ascii="Times New Roman" w:hAnsi="Times New Roman" w:cs="Times New Roman"/>
          <w:sz w:val="28"/>
          <w:szCs w:val="28"/>
          <w:highlight w:val="none"/>
        </w:rPr>
        <w:t>。</w:t>
      </w:r>
    </w:p>
    <w:p>
      <w:pPr>
        <w:spacing w:line="360" w:lineRule="auto"/>
        <w:ind w:firstLine="560" w:firstLineChars="200"/>
        <w:rPr>
          <w:rFonts w:hint="default" w:ascii="Times New Roman" w:hAnsi="Times New Roman"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当</w:t>
      </w:r>
      <w:r>
        <w:rPr>
          <w:rFonts w:hint="default" w:ascii="Times New Roman" w:hAnsi="Times New Roman" w:cs="Times New Roman"/>
          <w:color w:val="auto"/>
          <w:sz w:val="28"/>
          <w:szCs w:val="28"/>
          <w:highlight w:val="none"/>
          <w:lang w:val="en-US" w:eastAsia="zh-CN"/>
        </w:rPr>
        <w:t>项目</w:t>
      </w:r>
      <w:r>
        <w:rPr>
          <w:rFonts w:hint="default" w:ascii="Times New Roman" w:hAnsi="Times New Roman" w:eastAsia="宋体" w:cs="Times New Roman"/>
          <w:color w:val="auto"/>
          <w:sz w:val="28"/>
          <w:szCs w:val="28"/>
          <w:highlight w:val="none"/>
        </w:rPr>
        <w:t>工艺装置、储罐区发生</w:t>
      </w:r>
      <w:r>
        <w:rPr>
          <w:rFonts w:hint="default" w:ascii="Times New Roman" w:hAnsi="Times New Roman" w:eastAsia="宋体" w:cs="Times New Roman"/>
          <w:color w:val="auto"/>
          <w:sz w:val="28"/>
          <w:szCs w:val="28"/>
          <w:highlight w:val="none"/>
          <w:lang w:val="en-US" w:eastAsia="zh-CN"/>
        </w:rPr>
        <w:t>原料</w:t>
      </w:r>
      <w:r>
        <w:rPr>
          <w:rFonts w:hint="default" w:ascii="Times New Roman" w:hAnsi="Times New Roman" w:eastAsia="宋体" w:cs="Times New Roman"/>
          <w:color w:val="auto"/>
          <w:sz w:val="28"/>
          <w:szCs w:val="28"/>
          <w:highlight w:val="none"/>
        </w:rPr>
        <w:t>泄漏、火灾爆炸等事故时，开启应急消防系统，此时由于</w:t>
      </w:r>
      <w:r>
        <w:rPr>
          <w:rFonts w:hint="default" w:ascii="Times New Roman" w:hAnsi="Times New Roman" w:eastAsia="宋体" w:cs="Times New Roman"/>
          <w:color w:val="auto"/>
          <w:sz w:val="28"/>
          <w:szCs w:val="28"/>
          <w:highlight w:val="none"/>
          <w:lang w:val="en-US" w:eastAsia="zh-CN"/>
        </w:rPr>
        <w:t>原料</w:t>
      </w:r>
      <w:r>
        <w:rPr>
          <w:rFonts w:hint="default" w:ascii="Times New Roman" w:hAnsi="Times New Roman" w:eastAsia="宋体" w:cs="Times New Roman"/>
          <w:color w:val="auto"/>
          <w:sz w:val="28"/>
          <w:szCs w:val="28"/>
          <w:highlight w:val="none"/>
        </w:rPr>
        <w:t>和消防水混合产生大量污染废水，即消防废水。消防废水通过厂区管网进入</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座</w:t>
      </w:r>
      <w:r>
        <w:rPr>
          <w:rFonts w:hint="eastAsia" w:ascii="Times New Roman" w:hAnsi="Times New Roman" w:cs="Times New Roman"/>
          <w:color w:val="auto"/>
          <w:sz w:val="28"/>
          <w:szCs w:val="28"/>
          <w:highlight w:val="none"/>
          <w:lang w:val="en-US" w:eastAsia="zh-CN"/>
        </w:rPr>
        <w:t>地下事故池</w:t>
      </w:r>
      <w:r>
        <w:rPr>
          <w:rFonts w:hint="default" w:ascii="Times New Roman" w:hAnsi="Times New Roman" w:eastAsia="宋体" w:cs="Times New Roman"/>
          <w:color w:val="auto"/>
          <w:sz w:val="28"/>
          <w:szCs w:val="28"/>
          <w:highlight w:val="none"/>
          <w:lang w:eastAsia="zh-CN"/>
        </w:rPr>
        <w:t>，收集的消防废水通过调节和切换，分批泵入废水处理站处理达标。</w:t>
      </w:r>
      <w:r>
        <w:rPr>
          <w:rFonts w:hint="eastAsia" w:ascii="Times New Roman" w:hAnsi="Times New Roman" w:cs="Times New Roman"/>
          <w:color w:val="auto"/>
          <w:sz w:val="28"/>
          <w:szCs w:val="28"/>
          <w:highlight w:val="none"/>
          <w:lang w:val="en-US" w:eastAsia="zh-CN"/>
        </w:rPr>
        <w:t>地下事故</w:t>
      </w:r>
      <w:r>
        <w:rPr>
          <w:rFonts w:hint="default" w:ascii="Times New Roman" w:hAnsi="Times New Roman" w:eastAsia="宋体" w:cs="Times New Roman"/>
          <w:color w:val="auto"/>
          <w:sz w:val="28"/>
          <w:szCs w:val="28"/>
          <w:highlight w:val="none"/>
          <w:lang w:val="en-US" w:eastAsia="zh-CN"/>
        </w:rPr>
        <w:t>池为钢筋混凝土材质，池底及池壁水泥地面硬化，水池内部设置防腐涂层</w:t>
      </w:r>
      <w:r>
        <w:rPr>
          <w:rFonts w:hint="default" w:ascii="Times New Roman" w:hAnsi="Times New Roman" w:eastAsia="宋体" w:cs="Times New Roman"/>
          <w:color w:val="auto"/>
          <w:sz w:val="28"/>
          <w:szCs w:val="28"/>
          <w:highlight w:val="none"/>
          <w:lang w:eastAsia="zh-CN"/>
        </w:rPr>
        <w:t>，顶部钢筋混凝土覆盖</w:t>
      </w:r>
      <w:r>
        <w:rPr>
          <w:rFonts w:hint="eastAsia" w:ascii="Times New Roman" w:hAnsi="Times New Roman"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lang w:eastAsia="zh-CN"/>
        </w:rPr>
        <w:t>职工定期</w:t>
      </w:r>
      <w:r>
        <w:rPr>
          <w:rFonts w:hint="default" w:ascii="Times New Roman" w:hAnsi="Times New Roman" w:eastAsia="宋体" w:cs="Times New Roman"/>
          <w:color w:val="auto"/>
          <w:sz w:val="28"/>
          <w:szCs w:val="28"/>
          <w:highlight w:val="none"/>
          <w:lang w:val="en-US" w:eastAsia="zh-CN"/>
        </w:rPr>
        <w:t>检查</w:t>
      </w:r>
      <w:r>
        <w:rPr>
          <w:rFonts w:hint="default" w:ascii="Times New Roman" w:hAnsi="Times New Roman" w:cs="Times New Roman"/>
          <w:color w:val="auto"/>
          <w:sz w:val="28"/>
          <w:szCs w:val="28"/>
          <w:highlight w:val="none"/>
          <w:lang w:val="en-US" w:eastAsia="zh-CN"/>
        </w:rPr>
        <w:t>。</w:t>
      </w:r>
    </w:p>
    <w:p>
      <w:pPr>
        <w:pStyle w:val="27"/>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cs="Times New Roman"/>
          <w:b/>
          <w:bCs/>
          <w:sz w:val="24"/>
          <w:highlight w:val="none"/>
        </w:rPr>
      </w:pPr>
      <w:r>
        <w:rPr>
          <w:rFonts w:hint="default" w:ascii="Times New Roman" w:hAnsi="Times New Roman" w:cs="Times New Roman"/>
          <w:b/>
          <w:bCs/>
          <w:sz w:val="24"/>
          <w:highlight w:val="none"/>
        </w:rPr>
        <w:t>表</w:t>
      </w:r>
      <w:r>
        <w:rPr>
          <w:rFonts w:hint="default" w:ascii="Times New Roman" w:hAnsi="Times New Roman" w:cs="Times New Roman"/>
          <w:b/>
          <w:bCs/>
          <w:sz w:val="24"/>
          <w:highlight w:val="none"/>
          <w:lang w:val="en-US" w:eastAsia="zh-CN"/>
        </w:rPr>
        <w:t>4</w:t>
      </w:r>
      <w:r>
        <w:rPr>
          <w:rFonts w:hint="eastAsia" w:ascii="Times New Roman" w:cs="Times New Roman"/>
          <w:b/>
          <w:bCs/>
          <w:sz w:val="24"/>
          <w:highlight w:val="none"/>
          <w:lang w:val="en-US" w:eastAsia="zh-CN"/>
        </w:rPr>
        <w:t>-3</w:t>
      </w:r>
      <w:r>
        <w:rPr>
          <w:rFonts w:hint="default" w:ascii="Times New Roman" w:hAnsi="Times New Roman" w:cs="Times New Roman"/>
          <w:b/>
          <w:bCs/>
          <w:sz w:val="24"/>
          <w:highlight w:val="none"/>
        </w:rPr>
        <w:t xml:space="preserve">   储存坑/塘</w:t>
      </w:r>
      <w:r>
        <w:rPr>
          <w:rFonts w:hint="default" w:ascii="Times New Roman" w:hAnsi="Times New Roman" w:eastAsia="宋体" w:cs="Times New Roman"/>
          <w:b/>
          <w:bCs/>
          <w:sz w:val="24"/>
          <w:szCs w:val="24"/>
          <w:highlight w:val="none"/>
          <w:lang w:val="en-US" w:eastAsia="zh-CN"/>
        </w:rPr>
        <w:t>排查重点</w:t>
      </w:r>
    </w:p>
    <w:tbl>
      <w:tblPr>
        <w:tblStyle w:val="67"/>
        <w:tblW w:w="498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650"/>
        <w:gridCol w:w="749"/>
        <w:gridCol w:w="809"/>
        <w:gridCol w:w="661"/>
        <w:gridCol w:w="922"/>
        <w:gridCol w:w="1904"/>
        <w:gridCol w:w="915"/>
        <w:gridCol w:w="915"/>
        <w:gridCol w:w="117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5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名称</w:t>
            </w:r>
          </w:p>
        </w:tc>
        <w:tc>
          <w:tcPr>
            <w:tcW w:w="3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数量</w:t>
            </w:r>
          </w:p>
        </w:tc>
        <w:tc>
          <w:tcPr>
            <w:tcW w:w="3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eastAsia="宋体" w:cs="Times New Roman"/>
                <w:kern w:val="2"/>
                <w:sz w:val="21"/>
                <w:szCs w:val="21"/>
                <w:highlight w:val="none"/>
                <w:vertAlign w:val="baseline"/>
                <w:lang w:eastAsia="zh-CN"/>
              </w:rPr>
              <w:t>规格</w:t>
            </w:r>
          </w:p>
        </w:tc>
        <w:tc>
          <w:tcPr>
            <w:tcW w:w="4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材质</w:t>
            </w:r>
          </w:p>
        </w:tc>
        <w:tc>
          <w:tcPr>
            <w:tcW w:w="3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使用情况</w:t>
            </w:r>
          </w:p>
        </w:tc>
        <w:tc>
          <w:tcPr>
            <w:tcW w:w="4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eastAsia="宋体" w:cs="Times New Roman"/>
                <w:kern w:val="2"/>
                <w:sz w:val="21"/>
                <w:szCs w:val="21"/>
                <w:highlight w:val="none"/>
                <w:vertAlign w:val="baseline"/>
                <w:lang w:val="en-US" w:eastAsia="zh-CN"/>
              </w:rPr>
              <w:t>存储污染</w:t>
            </w:r>
          </w:p>
        </w:tc>
        <w:tc>
          <w:tcPr>
            <w:tcW w:w="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防护措施</w:t>
            </w:r>
          </w:p>
        </w:tc>
        <w:tc>
          <w:tcPr>
            <w:tcW w:w="46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日常管理</w:t>
            </w:r>
          </w:p>
        </w:tc>
        <w:tc>
          <w:tcPr>
            <w:tcW w:w="46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造成土壤污染的方式</w:t>
            </w:r>
          </w:p>
        </w:tc>
        <w:tc>
          <w:tcPr>
            <w:tcW w:w="597"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5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地下</w:t>
            </w:r>
            <w:r>
              <w:rPr>
                <w:rFonts w:hint="default" w:ascii="Times New Roman" w:hAnsi="Times New Roman" w:eastAsia="宋体" w:cs="Times New Roman"/>
                <w:color w:val="auto"/>
                <w:kern w:val="2"/>
                <w:sz w:val="21"/>
                <w:szCs w:val="21"/>
                <w:lang w:val="en-US" w:eastAsia="zh-CN" w:bidi="ar-SA"/>
              </w:rPr>
              <w:t>事故池</w:t>
            </w:r>
          </w:p>
        </w:tc>
        <w:tc>
          <w:tcPr>
            <w:tcW w:w="3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rPr>
              <w:t>1</w:t>
            </w:r>
          </w:p>
        </w:tc>
        <w:tc>
          <w:tcPr>
            <w:tcW w:w="3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highlight w:val="none"/>
                <w:lang w:val="en-US" w:eastAsia="zh-CN"/>
              </w:rPr>
              <w:t>3580</w:t>
            </w:r>
            <w:r>
              <w:rPr>
                <w:rFonts w:hint="default" w:ascii="Times New Roman" w:hAnsi="Times New Roman" w:eastAsia="宋体" w:cs="Times New Roman"/>
                <w:color w:val="auto"/>
                <w:kern w:val="2"/>
                <w:sz w:val="21"/>
                <w:szCs w:val="21"/>
                <w:highlight w:val="none"/>
                <w:vertAlign w:val="baseline"/>
                <w:lang w:val="en-US" w:eastAsia="zh-CN"/>
              </w:rPr>
              <w:t>m</w:t>
            </w:r>
            <w:r>
              <w:rPr>
                <w:rFonts w:hint="default" w:ascii="Times New Roman" w:hAnsi="Times New Roman" w:eastAsia="宋体" w:cs="Times New Roman"/>
                <w:color w:val="auto"/>
                <w:kern w:val="2"/>
                <w:sz w:val="21"/>
                <w:szCs w:val="21"/>
                <w:highlight w:val="none"/>
                <w:vertAlign w:val="superscript"/>
                <w:lang w:val="en-US" w:eastAsia="zh-CN"/>
              </w:rPr>
              <w:t>3</w:t>
            </w:r>
          </w:p>
        </w:tc>
        <w:tc>
          <w:tcPr>
            <w:tcW w:w="4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highlight w:val="none"/>
              </w:rPr>
              <w:t>钢筋混凝土</w:t>
            </w:r>
          </w:p>
        </w:tc>
        <w:tc>
          <w:tcPr>
            <w:tcW w:w="3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rPr>
              <w:t>在用</w:t>
            </w:r>
          </w:p>
        </w:tc>
        <w:tc>
          <w:tcPr>
            <w:tcW w:w="4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bCs/>
                <w:color w:val="auto"/>
                <w:kern w:val="2"/>
                <w:sz w:val="21"/>
                <w:szCs w:val="21"/>
                <w:highlight w:val="none"/>
                <w:lang w:val="en-US" w:eastAsia="zh-CN"/>
              </w:rPr>
              <w:t>渗漏、挥发</w:t>
            </w:r>
          </w:p>
        </w:tc>
        <w:tc>
          <w:tcPr>
            <w:tcW w:w="9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池底及池壁水泥地面硬化，水池内部设置防腐涂层</w:t>
            </w:r>
            <w:r>
              <w:rPr>
                <w:rFonts w:hint="eastAsia" w:ascii="Times New Roman" w:hAnsi="Times New Roman" w:cs="Times New Roman"/>
                <w:color w:val="auto"/>
                <w:kern w:val="2"/>
                <w:sz w:val="21"/>
                <w:szCs w:val="21"/>
                <w:lang w:val="en-US" w:eastAsia="zh-CN"/>
              </w:rPr>
              <w:t>，顶部钢筋混凝土覆盖</w:t>
            </w:r>
          </w:p>
        </w:tc>
        <w:tc>
          <w:tcPr>
            <w:tcW w:w="466" w:type="pct"/>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
              </w:rPr>
            </w:pPr>
            <w:r>
              <w:rPr>
                <w:rFonts w:hint="default" w:ascii="Times New Roman" w:hAnsi="Times New Roman" w:eastAsia="宋体" w:cs="Times New Roman"/>
                <w:bCs/>
                <w:color w:val="auto"/>
                <w:sz w:val="21"/>
                <w:szCs w:val="21"/>
                <w:highlight w:val="none"/>
                <w:lang w:val="en-US" w:eastAsia="zh-CN"/>
              </w:rPr>
              <w:t>定期检查</w:t>
            </w:r>
          </w:p>
        </w:tc>
        <w:tc>
          <w:tcPr>
            <w:tcW w:w="466"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rPr>
              <w:t>泄漏、溢流</w:t>
            </w:r>
          </w:p>
        </w:tc>
        <w:tc>
          <w:tcPr>
            <w:tcW w:w="59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5000" w:type="pct"/>
            <w:gridSpan w:val="10"/>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kern w:val="2"/>
                <w:sz w:val="21"/>
                <w:szCs w:val="21"/>
                <w:highlight w:val="none"/>
                <w:vertAlign w:val="baseline"/>
                <w:lang w:val="en-US" w:eastAsia="zh-CN" w:bidi="ar-SA"/>
              </w:rPr>
              <w:drawing>
                <wp:inline distT="0" distB="0" distL="114300" distR="114300">
                  <wp:extent cx="4714875" cy="3535680"/>
                  <wp:effectExtent l="0" t="0" r="9525" b="0"/>
                  <wp:docPr id="89" name="图片 89" descr="C:/Users/Administrator/AppData/Local/Temp/picturecompress_20210930180217/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strator/AppData/Local/Temp/picturecompress_20210930180217/output_24.jpgoutput_24"/>
                          <pic:cNvPicPr>
                            <a:picLocks noChangeAspect="1"/>
                          </pic:cNvPicPr>
                        </pic:nvPicPr>
                        <pic:blipFill>
                          <a:blip r:embed="rId44"/>
                          <a:stretch>
                            <a:fillRect/>
                          </a:stretch>
                        </pic:blipFill>
                        <pic:spPr>
                          <a:xfrm>
                            <a:off x="0" y="0"/>
                            <a:ext cx="4714875" cy="353568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000" w:type="pct"/>
            <w:gridSpan w:val="10"/>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地下</w:t>
            </w:r>
            <w:r>
              <w:rPr>
                <w:rFonts w:hint="default" w:ascii="Times New Roman" w:hAnsi="Times New Roman" w:eastAsia="宋体" w:cs="Times New Roman"/>
                <w:kern w:val="2"/>
                <w:sz w:val="21"/>
                <w:szCs w:val="21"/>
                <w:lang w:val="en-US" w:eastAsia="zh-CN" w:bidi="ar-SA"/>
              </w:rPr>
              <w:t>事故</w:t>
            </w:r>
            <w:r>
              <w:rPr>
                <w:rFonts w:hint="eastAsia" w:ascii="Times New Roman" w:hAnsi="Times New Roman" w:cs="Times New Roman"/>
                <w:kern w:val="2"/>
                <w:sz w:val="21"/>
                <w:szCs w:val="21"/>
                <w:lang w:val="en-US" w:eastAsia="zh-CN" w:bidi="ar-SA"/>
              </w:rPr>
              <w:t>水</w:t>
            </w:r>
            <w:r>
              <w:rPr>
                <w:rFonts w:hint="default" w:ascii="Times New Roman" w:hAnsi="Times New Roman" w:eastAsia="宋体" w:cs="Times New Roman"/>
                <w:kern w:val="2"/>
                <w:sz w:val="21"/>
                <w:szCs w:val="21"/>
                <w:lang w:val="en-US" w:eastAsia="zh-CN" w:bidi="ar-SA"/>
              </w:rPr>
              <w:t>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000" w:type="pct"/>
            <w:gridSpan w:val="10"/>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highlight w:val="none"/>
                <w:vertAlign w:val="baseline"/>
                <w:lang w:val="en-US" w:eastAsia="zh-CN"/>
              </w:rPr>
              <w:t>图</w:t>
            </w:r>
            <w:r>
              <w:rPr>
                <w:rFonts w:hint="default" w:ascii="Times New Roman" w:hAnsi="Times New Roman" w:cs="Times New Roman"/>
                <w:kern w:val="2"/>
                <w:sz w:val="21"/>
                <w:szCs w:val="21"/>
                <w:highlight w:val="none"/>
                <w:vertAlign w:val="baseline"/>
                <w:lang w:val="en-US" w:eastAsia="zh-CN"/>
              </w:rPr>
              <w:t>4</w:t>
            </w:r>
            <w:r>
              <w:rPr>
                <w:rFonts w:hint="eastAsia" w:ascii="Times New Roman" w:hAnsi="Times New Roman" w:cs="Times New Roman"/>
                <w:kern w:val="2"/>
                <w:sz w:val="21"/>
                <w:szCs w:val="21"/>
                <w:highlight w:val="none"/>
                <w:vertAlign w:val="baseline"/>
                <w:lang w:val="en-US" w:eastAsia="zh-CN"/>
              </w:rPr>
              <w:t>-3</w:t>
            </w:r>
            <w:r>
              <w:rPr>
                <w:rFonts w:hint="default" w:ascii="Times New Roman" w:hAnsi="Times New Roman" w:eastAsia="宋体" w:cs="Times New Roman"/>
                <w:kern w:val="2"/>
                <w:sz w:val="21"/>
                <w:szCs w:val="21"/>
                <w:highlight w:val="none"/>
                <w:vertAlign w:val="baseline"/>
                <w:lang w:val="en-US" w:eastAsia="zh-CN"/>
              </w:rPr>
              <w:t xml:space="preserve"> </w:t>
            </w:r>
            <w:r>
              <w:rPr>
                <w:rFonts w:hint="default" w:ascii="Times New Roman" w:hAnsi="Times New Roman" w:cs="Times New Roman"/>
                <w:kern w:val="2"/>
                <w:sz w:val="21"/>
                <w:szCs w:val="21"/>
                <w:highlight w:val="none"/>
                <w:vertAlign w:val="baseline"/>
                <w:lang w:val="en-US" w:eastAsia="zh-CN"/>
              </w:rPr>
              <w:t xml:space="preserve">  储存坑/塘</w:t>
            </w:r>
          </w:p>
        </w:tc>
      </w:tr>
    </w:tbl>
    <w:p>
      <w:pPr>
        <w:spacing w:beforeLines="100"/>
        <w:ind w:firstLine="0" w:firstLineChars="0"/>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4.1</w:t>
      </w:r>
      <w:r>
        <w:rPr>
          <w:rFonts w:hint="default" w:ascii="Times New Roman" w:hAnsi="Times New Roman" w:cs="Times New Roman"/>
          <w:b/>
          <w:bCs/>
          <w:color w:val="auto"/>
          <w:sz w:val="28"/>
          <w:szCs w:val="28"/>
          <w:highlight w:val="none"/>
        </w:rPr>
        <w:t>.2 散状液体转运与厂内运输区</w:t>
      </w:r>
    </w:p>
    <w:p>
      <w:pPr>
        <w:ind w:firstLine="48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w:t>
      </w:r>
      <w:r>
        <w:rPr>
          <w:rFonts w:hint="default" w:ascii="Times New Roman" w:hAnsi="Times New Roman" w:cs="Times New Roman"/>
          <w:sz w:val="28"/>
          <w:szCs w:val="28"/>
          <w:highlight w:val="none"/>
        </w:rPr>
        <w:t>.2.1 装车与卸货</w:t>
      </w:r>
    </w:p>
    <w:p>
      <w:pPr>
        <w:pStyle w:val="2"/>
        <w:keepNext w:val="0"/>
        <w:keepLines w:val="0"/>
        <w:pageBreakBefore w:val="0"/>
        <w:widowControl/>
        <w:kinsoku/>
        <w:wordWrap/>
        <w:overflowPunct/>
        <w:topLinePunct w:val="0"/>
        <w:autoSpaceDE/>
        <w:autoSpaceDN/>
        <w:bidi w:val="0"/>
        <w:adjustRightInd w:val="0"/>
        <w:snapToGrid w:val="0"/>
        <w:spacing w:after="0"/>
        <w:ind w:left="0" w:leftChars="0"/>
        <w:textAlignment w:val="auto"/>
        <w:rPr>
          <w:rFonts w:hint="eastAsia" w:cs="Times New Roman"/>
          <w:szCs w:val="28"/>
          <w:lang w:val="en-US" w:eastAsia="zh-CN"/>
        </w:rPr>
      </w:pPr>
      <w:r>
        <w:rPr>
          <w:rFonts w:hint="eastAsia" w:cs="Times New Roman"/>
          <w:szCs w:val="28"/>
          <w:lang w:val="en-US" w:eastAsia="zh-CN"/>
        </w:rPr>
        <w:t>散装液体物料装卸造成土壤污染主要有两种情况：（1）液体物料的溢满；（2）装卸完成后，出料口及相关配件中残余液体物料的滴漏。</w:t>
      </w:r>
    </w:p>
    <w:p>
      <w:pPr>
        <w:keepNext w:val="0"/>
        <w:keepLines w:val="0"/>
        <w:pageBreakBefore w:val="0"/>
        <w:widowControl/>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sz w:val="28"/>
          <w:szCs w:val="28"/>
          <w:lang w:eastAsia="zh-CN"/>
        </w:rPr>
      </w:pPr>
      <w:r>
        <w:rPr>
          <w:rFonts w:ascii="Times New Roman" w:hAnsi="Times New Roman" w:cs="Times New Roman"/>
          <w:szCs w:val="28"/>
        </w:rPr>
        <w:t>项目涉及到的散装液体装卸为</w:t>
      </w:r>
      <w:r>
        <w:rPr>
          <w:rFonts w:hint="eastAsia" w:ascii="Times New Roman" w:hAnsi="Times New Roman" w:cs="Times New Roman"/>
          <w:szCs w:val="28"/>
          <w:lang w:val="en-US" w:eastAsia="zh-CN"/>
        </w:rPr>
        <w:t>盐酸、硫酸、甲醇、二氧化硫</w:t>
      </w:r>
      <w:r>
        <w:rPr>
          <w:rFonts w:hint="eastAsia" w:ascii="Times New Roman" w:hAnsi="Times New Roman" w:cs="Times New Roman"/>
          <w:szCs w:val="28"/>
        </w:rPr>
        <w:t>等</w:t>
      </w:r>
      <w:r>
        <w:rPr>
          <w:rFonts w:ascii="Times New Roman" w:hAnsi="Times New Roman" w:cs="Times New Roman"/>
          <w:szCs w:val="28"/>
        </w:rPr>
        <w:t>从罐车里面经过管道直接被打入储罐内，同时地面做有水泥硬化防渗措施和溢流收集装置</w:t>
      </w:r>
      <w:r>
        <w:rPr>
          <w:rFonts w:hint="eastAsia" w:ascii="Times New Roman" w:hAnsi="Times New Roman" w:cs="Times New Roman"/>
          <w:szCs w:val="28"/>
          <w:lang w:eastAsia="zh-CN"/>
        </w:rPr>
        <w:t>。</w:t>
      </w:r>
    </w:p>
    <w:p>
      <w:pPr>
        <w:keepNext w:val="0"/>
        <w:keepLines w:val="0"/>
        <w:pageBreakBefore w:val="0"/>
        <w:widowControl/>
        <w:kinsoku/>
        <w:wordWrap/>
        <w:overflowPunct/>
        <w:topLinePunct w:val="0"/>
        <w:autoSpaceDE/>
        <w:autoSpaceDN/>
        <w:bidi w:val="0"/>
        <w:adjustRightInd w:val="0"/>
        <w:snapToGrid w:val="0"/>
        <w:ind w:firstLine="480"/>
        <w:textAlignment w:val="auto"/>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w:t>
      </w:r>
      <w:r>
        <w:rPr>
          <w:rFonts w:hint="default" w:ascii="Times New Roman" w:hAnsi="Times New Roman" w:cs="Times New Roman"/>
          <w:sz w:val="28"/>
          <w:szCs w:val="28"/>
          <w:highlight w:val="none"/>
        </w:rPr>
        <w:t>.2.2 管道运输</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定期检查一般能识别地上管道泄漏，否则管道若发生泄漏极易造成土壤污染。</w:t>
      </w:r>
    </w:p>
    <w:p>
      <w:pPr>
        <w:spacing w:line="360" w:lineRule="auto"/>
        <w:ind w:firstLine="56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地下管线需要有防腐、防渗或阴极检测等设计才能预防泄漏。与保护地下储存罐的方式相似，在具有腐蚀性的土壤（如盐碱化或酸雨严重区域），阴极保护或另一种等效形式的腐蚀保护非常重要，否则容易造成泄漏风险导致土壤污染。</w:t>
      </w:r>
    </w:p>
    <w:p>
      <w:pPr>
        <w:ind w:firstLine="480"/>
        <w:rPr>
          <w:rFonts w:hint="default" w:ascii="Times New Roman" w:hAnsi="Times New Roman" w:cs="Times New Roman"/>
          <w:sz w:val="28"/>
          <w:szCs w:val="28"/>
          <w:highlight w:val="none"/>
        </w:rPr>
      </w:pP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无保护系统的地下管线都极易产生土壤污染，尤其对于管道阀门、法兰等位置，液体泄漏直接进入土壤导致污染</w:t>
      </w:r>
      <w:r>
        <w:rPr>
          <w:rFonts w:hint="default" w:ascii="Times New Roman" w:hAnsi="Times New Roman" w:cs="Times New Roman"/>
          <w:sz w:val="28"/>
          <w:szCs w:val="28"/>
          <w:highlight w:val="none"/>
        </w:rPr>
        <w:t>。</w:t>
      </w:r>
    </w:p>
    <w:p>
      <w:pPr>
        <w:spacing w:line="360" w:lineRule="auto"/>
        <w:ind w:firstLine="560" w:firstLineChars="200"/>
        <w:rPr>
          <w:rFonts w:hint="default" w:ascii="Times New Roman" w:hAnsi="Times New Roman" w:eastAsia="宋体" w:cs="Times New Roman"/>
          <w:b/>
          <w:bCs/>
          <w:sz w:val="24"/>
          <w:szCs w:val="24"/>
          <w:highlight w:val="none"/>
        </w:rPr>
      </w:pPr>
      <w:r>
        <w:rPr>
          <w:rFonts w:hint="default" w:ascii="Times New Roman" w:hAnsi="Times New Roman" w:cs="Times New Roman"/>
          <w:color w:val="auto"/>
          <w:sz w:val="28"/>
          <w:szCs w:val="28"/>
          <w:highlight w:val="none"/>
          <w:lang w:val="en-US" w:eastAsia="zh-CN"/>
        </w:rPr>
        <w:t>项目</w:t>
      </w:r>
      <w:r>
        <w:rPr>
          <w:rFonts w:hint="default" w:ascii="Times New Roman" w:hAnsi="Times New Roman" w:eastAsia="宋体" w:cs="Times New Roman"/>
          <w:color w:val="auto"/>
          <w:sz w:val="28"/>
          <w:szCs w:val="28"/>
          <w:highlight w:val="none"/>
          <w:lang w:val="en-US" w:eastAsia="zh-CN"/>
        </w:rPr>
        <w:t>管道</w:t>
      </w:r>
      <w:r>
        <w:rPr>
          <w:rFonts w:hint="default" w:ascii="Times New Roman" w:hAnsi="Times New Roman" w:cs="Times New Roman"/>
          <w:color w:val="auto"/>
          <w:sz w:val="28"/>
          <w:szCs w:val="28"/>
          <w:highlight w:val="none"/>
          <w:lang w:val="en-US" w:eastAsia="zh-CN"/>
        </w:rPr>
        <w:t>均为地上管线，</w:t>
      </w:r>
      <w:r>
        <w:rPr>
          <w:rFonts w:hint="default" w:ascii="Times New Roman" w:hAnsi="Times New Roman" w:eastAsia="宋体" w:cs="Times New Roman"/>
          <w:color w:val="auto"/>
          <w:sz w:val="28"/>
          <w:szCs w:val="28"/>
          <w:highlight w:val="none"/>
          <w:lang w:val="en-US" w:eastAsia="zh-CN"/>
        </w:rPr>
        <w:t>都是密闭完好，基本不存在“跑、冒、滴、漏”的情况。除了车间内的管道，其他管道都在室外，工人会进行定期检查</w:t>
      </w:r>
      <w:r>
        <w:rPr>
          <w:rFonts w:hint="default" w:ascii="Times New Roman" w:hAnsi="Times New Roman" w:cs="Times New Roman"/>
          <w:color w:val="auto"/>
          <w:sz w:val="28"/>
          <w:szCs w:val="28"/>
          <w:highlight w:val="none"/>
          <w:lang w:val="en-US" w:eastAsia="zh-CN"/>
        </w:rPr>
        <w:t>。</w:t>
      </w:r>
    </w:p>
    <w:p>
      <w:pPr>
        <w:spacing w:line="360" w:lineRule="auto"/>
        <w:jc w:val="center"/>
        <w:rPr>
          <w:rFonts w:hint="default" w:ascii="Times New Roman" w:hAnsi="Times New Roman" w:cs="Times New Roman"/>
          <w:highlight w:val="none"/>
        </w:rPr>
      </w:pPr>
      <w:r>
        <w:rPr>
          <w:rFonts w:hint="default" w:ascii="Times New Roman" w:hAnsi="Times New Roman" w:eastAsia="宋体" w:cs="Times New Roman"/>
          <w:b/>
          <w:bCs/>
          <w:sz w:val="24"/>
          <w:szCs w:val="24"/>
          <w:highlight w:val="none"/>
        </w:rPr>
        <w:t>表</w:t>
      </w:r>
      <w:r>
        <w:rPr>
          <w:rFonts w:hint="default" w:ascii="Times New Roman" w:hAnsi="Times New Roman" w:cs="Times New Roman"/>
          <w:b/>
          <w:bCs/>
          <w:sz w:val="24"/>
          <w:szCs w:val="24"/>
          <w:highlight w:val="none"/>
          <w:lang w:val="en-US" w:eastAsia="zh-CN"/>
        </w:rPr>
        <w:t>4</w:t>
      </w:r>
      <w:r>
        <w:rPr>
          <w:rFonts w:hint="eastAsia" w:ascii="Times New Roman" w:hAnsi="Times New Roman" w:cs="Times New Roman"/>
          <w:b/>
          <w:bCs/>
          <w:sz w:val="24"/>
          <w:szCs w:val="24"/>
          <w:highlight w:val="none"/>
          <w:lang w:val="en-US" w:eastAsia="zh-CN"/>
        </w:rPr>
        <w:t>-4</w:t>
      </w:r>
      <w:r>
        <w:rPr>
          <w:rFonts w:hint="default" w:ascii="Times New Roman" w:hAnsi="Times New Roman"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val="en-US" w:eastAsia="zh-CN"/>
        </w:rPr>
        <w:t xml:space="preserve"> 管道运输排查</w:t>
      </w:r>
    </w:p>
    <w:tbl>
      <w:tblPr>
        <w:tblStyle w:val="22"/>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893"/>
        <w:gridCol w:w="1580"/>
        <w:gridCol w:w="243"/>
        <w:gridCol w:w="1156"/>
        <w:gridCol w:w="1582"/>
        <w:gridCol w:w="185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58"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使用类型</w:t>
            </w:r>
          </w:p>
        </w:tc>
        <w:tc>
          <w:tcPr>
            <w:tcW w:w="1893"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存在污染</w:t>
            </w:r>
          </w:p>
        </w:tc>
        <w:tc>
          <w:tcPr>
            <w:tcW w:w="1824" w:type="dxa"/>
            <w:gridSpan w:val="2"/>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治理措施</w:t>
            </w:r>
          </w:p>
        </w:tc>
        <w:tc>
          <w:tcPr>
            <w:tcW w:w="1150"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日常管理</w:t>
            </w:r>
          </w:p>
        </w:tc>
        <w:tc>
          <w:tcPr>
            <w:tcW w:w="1584"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造成土壤污染方式</w:t>
            </w:r>
          </w:p>
        </w:tc>
        <w:tc>
          <w:tcPr>
            <w:tcW w:w="1844"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558"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lang w:val="en-US" w:eastAsia="zh-CN"/>
              </w:rPr>
              <w:t>液体输送管道</w:t>
            </w:r>
          </w:p>
        </w:tc>
        <w:tc>
          <w:tcPr>
            <w:tcW w:w="1893"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kern w:val="0"/>
                <w:sz w:val="21"/>
                <w:szCs w:val="21"/>
                <w:highlight w:val="none"/>
                <w:vertAlign w:val="baseline"/>
                <w:lang w:val="en-US" w:eastAsia="zh-CN" w:bidi="ar"/>
              </w:rPr>
              <w:t>硫磺、甲醇、氮（压缩的）、氨（液化的）、氯酸钠、二氧化硫（液化的）、二氧化碳</w:t>
            </w:r>
            <w:r>
              <w:rPr>
                <w:rFonts w:hint="eastAsia" w:ascii="Times New Roman" w:hAnsi="Times New Roman" w:cs="Times New Roman"/>
                <w:kern w:val="0"/>
                <w:sz w:val="21"/>
                <w:szCs w:val="21"/>
                <w:highlight w:val="none"/>
                <w:vertAlign w:val="baseline"/>
                <w:lang w:val="en-US" w:eastAsia="zh-CN" w:bidi="ar"/>
              </w:rPr>
              <w:t>等</w:t>
            </w:r>
          </w:p>
        </w:tc>
        <w:tc>
          <w:tcPr>
            <w:tcW w:w="1824" w:type="dxa"/>
            <w:gridSpan w:val="2"/>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防腐</w:t>
            </w:r>
            <w:r>
              <w:rPr>
                <w:rFonts w:hint="default" w:ascii="Times New Roman" w:hAnsi="Times New Roman" w:cs="Times New Roman"/>
                <w:sz w:val="21"/>
                <w:szCs w:val="21"/>
                <w:highlight w:val="none"/>
                <w:vertAlign w:val="baseline"/>
                <w:lang w:val="en-US" w:eastAsia="zh-CN"/>
              </w:rPr>
              <w:t>单</w:t>
            </w:r>
            <w:r>
              <w:rPr>
                <w:rFonts w:hint="default" w:ascii="Times New Roman" w:hAnsi="Times New Roman" w:eastAsia="宋体" w:cs="Times New Roman"/>
                <w:sz w:val="21"/>
                <w:szCs w:val="21"/>
                <w:highlight w:val="none"/>
                <w:vertAlign w:val="baseline"/>
                <w:lang w:val="en-US" w:eastAsia="zh-CN"/>
              </w:rPr>
              <w:t>层管道，</w:t>
            </w:r>
            <w:r>
              <w:rPr>
                <w:rFonts w:hint="eastAsia" w:ascii="Times New Roman" w:hAnsi="Times New Roman" w:cs="Times New Roman"/>
                <w:sz w:val="21"/>
                <w:szCs w:val="21"/>
                <w:highlight w:val="none"/>
                <w:vertAlign w:val="baseline"/>
                <w:lang w:val="en-US" w:eastAsia="zh-CN"/>
              </w:rPr>
              <w:t>外部配置保护隔层，</w:t>
            </w:r>
            <w:r>
              <w:rPr>
                <w:rFonts w:hint="default" w:ascii="Times New Roman" w:hAnsi="Times New Roman" w:eastAsia="宋体" w:cs="Times New Roman"/>
                <w:sz w:val="21"/>
                <w:szCs w:val="21"/>
                <w:highlight w:val="none"/>
                <w:vertAlign w:val="baseline"/>
                <w:lang w:val="en-US" w:eastAsia="zh-CN"/>
              </w:rPr>
              <w:t>采用地上管道</w:t>
            </w:r>
          </w:p>
        </w:tc>
        <w:tc>
          <w:tcPr>
            <w:tcW w:w="1150"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定期专人泄漏检查</w:t>
            </w:r>
          </w:p>
        </w:tc>
        <w:tc>
          <w:tcPr>
            <w:tcW w:w="1584"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泄漏</w:t>
            </w:r>
          </w:p>
        </w:tc>
        <w:tc>
          <w:tcPr>
            <w:tcW w:w="1844"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管道阀门、法兰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5031" w:type="dxa"/>
            <w:gridSpan w:val="3"/>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3011170" cy="2258695"/>
                  <wp:effectExtent l="0" t="0" r="6350" b="12065"/>
                  <wp:docPr id="90" name="图片 90" descr="C:/Users/Administrator/AppData/Local/Temp/picturecompress_20210930180217/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Administrator/AppData/Local/Temp/picturecompress_20210930180217/output_25.jpgoutput_25"/>
                          <pic:cNvPicPr>
                            <a:picLocks noChangeAspect="1"/>
                          </pic:cNvPicPr>
                        </pic:nvPicPr>
                        <pic:blipFill>
                          <a:blip r:embed="rId45"/>
                          <a:stretch>
                            <a:fillRect/>
                          </a:stretch>
                        </pic:blipFill>
                        <pic:spPr>
                          <a:xfrm>
                            <a:off x="0" y="0"/>
                            <a:ext cx="3011170" cy="2258695"/>
                          </a:xfrm>
                          <a:prstGeom prst="rect">
                            <a:avLst/>
                          </a:prstGeom>
                        </pic:spPr>
                      </pic:pic>
                    </a:graphicData>
                  </a:graphic>
                </wp:inline>
              </w:drawing>
            </w:r>
          </w:p>
        </w:tc>
        <w:tc>
          <w:tcPr>
            <w:tcW w:w="4822" w:type="dxa"/>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2894330" cy="2205355"/>
                  <wp:effectExtent l="0" t="0" r="1270" b="4445"/>
                  <wp:docPr id="91" name="图片 91" descr="C:/Users/Administrator/AppData/Local/Temp/picturecompress_20210930180217/output_26.jpgoutput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strator/AppData/Local/Temp/picturecompress_20210930180217/output_26.jpgoutput_26"/>
                          <pic:cNvPicPr>
                            <a:picLocks noChangeAspect="1"/>
                          </pic:cNvPicPr>
                        </pic:nvPicPr>
                        <pic:blipFill>
                          <a:blip r:embed="rId46"/>
                          <a:srcRect/>
                          <a:stretch>
                            <a:fillRect/>
                          </a:stretch>
                        </pic:blipFill>
                        <pic:spPr>
                          <a:xfrm>
                            <a:off x="0" y="0"/>
                            <a:ext cx="2894330" cy="2205355"/>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5031" w:type="dxa"/>
            <w:gridSpan w:val="3"/>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3004185" cy="2698115"/>
                  <wp:effectExtent l="0" t="0" r="13335" b="14605"/>
                  <wp:docPr id="92" name="图片 92" descr="C:/Users/Administrator/AppData/Local/Temp/picturecompress_20210930180217/output_27.jpgoutpu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strator/AppData/Local/Temp/picturecompress_20210930180217/output_27.jpgoutput_27"/>
                          <pic:cNvPicPr>
                            <a:picLocks noChangeAspect="1"/>
                          </pic:cNvPicPr>
                        </pic:nvPicPr>
                        <pic:blipFill>
                          <a:blip r:embed="rId47"/>
                          <a:srcRect/>
                          <a:stretch>
                            <a:fillRect/>
                          </a:stretch>
                        </pic:blipFill>
                        <pic:spPr>
                          <a:xfrm>
                            <a:off x="0" y="0"/>
                            <a:ext cx="3004185" cy="2698115"/>
                          </a:xfrm>
                          <a:prstGeom prst="rect">
                            <a:avLst/>
                          </a:prstGeom>
                        </pic:spPr>
                      </pic:pic>
                    </a:graphicData>
                  </a:graphic>
                </wp:inline>
              </w:drawing>
            </w:r>
          </w:p>
        </w:tc>
        <w:tc>
          <w:tcPr>
            <w:tcW w:w="4822" w:type="dxa"/>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2917825" cy="2644140"/>
                  <wp:effectExtent l="0" t="0" r="8255" b="7620"/>
                  <wp:docPr id="93" name="图片 93" descr="C:/Users/Administrator/AppData/Local/Temp/picturecompress_20210930180217/output_28.jpgoutpu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strator/AppData/Local/Temp/picturecompress_20210930180217/output_28.jpgoutput_28"/>
                          <pic:cNvPicPr>
                            <a:picLocks noChangeAspect="1"/>
                          </pic:cNvPicPr>
                        </pic:nvPicPr>
                        <pic:blipFill>
                          <a:blip r:embed="rId48"/>
                          <a:srcRect/>
                          <a:stretch>
                            <a:fillRect/>
                          </a:stretch>
                        </pic:blipFill>
                        <pic:spPr>
                          <a:xfrm>
                            <a:off x="0" y="0"/>
                            <a:ext cx="2917825" cy="264414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9853" w:type="dxa"/>
            <w:gridSpan w:val="7"/>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sz w:val="21"/>
                <w:szCs w:val="21"/>
                <w:highlight w:val="none"/>
              </w:rPr>
              <w:t>图</w:t>
            </w:r>
            <w:r>
              <w:rPr>
                <w:rFonts w:hint="default" w:ascii="Times New Roman" w:hAnsi="Times New Roman" w:cs="Times New Roman"/>
                <w:sz w:val="21"/>
                <w:szCs w:val="21"/>
                <w:highlight w:val="none"/>
                <w:lang w:val="en-US" w:eastAsia="zh-CN"/>
              </w:rPr>
              <w:t>4</w:t>
            </w:r>
            <w:r>
              <w:rPr>
                <w:rFonts w:hint="eastAsia"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 xml:space="preserve"> </w:t>
            </w:r>
            <w:r>
              <w:rPr>
                <w:rFonts w:hint="default" w:ascii="Times New Roman" w:hAnsi="Times New Roman" w:cs="Times New Roman"/>
                <w:sz w:val="21"/>
                <w:szCs w:val="21"/>
                <w:highlight w:val="none"/>
                <w:lang w:val="en-US" w:eastAsia="zh-CN"/>
              </w:rPr>
              <w:t xml:space="preserve">  管道运输</w:t>
            </w:r>
          </w:p>
        </w:tc>
      </w:tr>
    </w:tbl>
    <w:p>
      <w:pPr>
        <w:spacing w:beforeLines="100"/>
        <w:ind w:firstLine="48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w:t>
      </w:r>
      <w:r>
        <w:rPr>
          <w:rFonts w:hint="default" w:ascii="Times New Roman" w:hAnsi="Times New Roman" w:cs="Times New Roman"/>
          <w:sz w:val="28"/>
          <w:szCs w:val="28"/>
          <w:highlight w:val="none"/>
        </w:rPr>
        <w:t>.2.3 泵运输</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泵经常连接到大的存储设备，泵存放位置如果未做任何防渗处理或泵的故障以及阀门操作不当都会导致大量液体的逸出从而造成土壤污染。</w:t>
      </w:r>
    </w:p>
    <w:p>
      <w:pPr>
        <w:spacing w:line="360" w:lineRule="auto"/>
        <w:ind w:firstLine="560" w:firstLineChars="200"/>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项目各罐体使用泵的地点，地面有防渗，</w:t>
      </w:r>
      <w:r>
        <w:rPr>
          <w:rFonts w:hint="default" w:ascii="Times New Roman" w:hAnsi="Times New Roman" w:cs="Times New Roman"/>
          <w:color w:val="auto"/>
          <w:sz w:val="28"/>
          <w:szCs w:val="28"/>
          <w:highlight w:val="none"/>
          <w:lang w:val="en-US" w:eastAsia="zh-CN"/>
        </w:rPr>
        <w:t>原料混合区域</w:t>
      </w:r>
      <w:r>
        <w:rPr>
          <w:rFonts w:hint="eastAsia" w:ascii="Times New Roman" w:hAnsi="Times New Roman" w:cs="Times New Roman"/>
          <w:color w:val="auto"/>
          <w:sz w:val="28"/>
          <w:szCs w:val="28"/>
          <w:highlight w:val="none"/>
          <w:lang w:val="en-US" w:eastAsia="zh-CN"/>
        </w:rPr>
        <w:t>均</w:t>
      </w:r>
      <w:r>
        <w:rPr>
          <w:rFonts w:hint="default" w:ascii="Times New Roman" w:hAnsi="Times New Roman" w:cs="Times New Roman"/>
          <w:color w:val="auto"/>
          <w:sz w:val="28"/>
          <w:szCs w:val="28"/>
          <w:highlight w:val="none"/>
          <w:lang w:val="en-US" w:eastAsia="zh-CN"/>
        </w:rPr>
        <w:t>设置围堰，</w:t>
      </w:r>
      <w:r>
        <w:rPr>
          <w:rFonts w:hint="eastAsia" w:ascii="Times New Roman" w:hAnsi="Times New Roman" w:cs="Times New Roman"/>
          <w:color w:val="auto"/>
          <w:sz w:val="28"/>
          <w:szCs w:val="28"/>
          <w:highlight w:val="none"/>
          <w:lang w:val="en-US" w:eastAsia="zh-CN"/>
        </w:rPr>
        <w:t>泵体离地，</w:t>
      </w:r>
      <w:r>
        <w:rPr>
          <w:rFonts w:hint="default" w:ascii="Times New Roman" w:hAnsi="Times New Roman" w:eastAsia="宋体" w:cs="Times New Roman"/>
          <w:color w:val="auto"/>
          <w:sz w:val="28"/>
          <w:szCs w:val="28"/>
          <w:highlight w:val="none"/>
          <w:lang w:val="en-US" w:eastAsia="zh-CN"/>
        </w:rPr>
        <w:t>大部分泵运行稳定正常，无跑冒滴漏现象，</w:t>
      </w:r>
      <w:r>
        <w:rPr>
          <w:rFonts w:hint="eastAsia" w:ascii="Times New Roman" w:hAnsi="Times New Roman" w:cs="Times New Roman"/>
          <w:color w:val="auto"/>
          <w:sz w:val="28"/>
          <w:szCs w:val="28"/>
          <w:highlight w:val="none"/>
          <w:lang w:val="en-US" w:eastAsia="zh-CN"/>
        </w:rPr>
        <w:t>工人定期检查，管理规范化</w:t>
      </w:r>
      <w:r>
        <w:rPr>
          <w:rFonts w:hint="default" w:ascii="Times New Roman" w:hAnsi="Times New Roman"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lang w:val="en-US" w:eastAsia="zh-CN"/>
        </w:rPr>
        <w:t>定期维护</w:t>
      </w:r>
      <w:r>
        <w:rPr>
          <w:rFonts w:hint="default" w:ascii="Times New Roman" w:hAnsi="Times New Roman" w:cs="Times New Roman"/>
          <w:color w:val="auto"/>
          <w:sz w:val="28"/>
          <w:szCs w:val="28"/>
          <w:highlight w:val="none"/>
          <w:lang w:val="en-US" w:eastAsia="zh-CN"/>
        </w:rPr>
        <w:t>。</w:t>
      </w:r>
    </w:p>
    <w:p>
      <w:pPr>
        <w:spacing w:line="360" w:lineRule="auto"/>
        <w:jc w:val="center"/>
        <w:rPr>
          <w:rFonts w:hint="default" w:ascii="Times New Roman" w:hAnsi="Times New Roman" w:cs="Times New Roman"/>
          <w:highlight w:val="none"/>
        </w:rPr>
      </w:pPr>
      <w:r>
        <w:rPr>
          <w:rFonts w:hint="default" w:ascii="Times New Roman" w:hAnsi="Times New Roman" w:eastAsia="宋体" w:cs="Times New Roman"/>
          <w:b/>
          <w:bCs/>
          <w:sz w:val="24"/>
          <w:szCs w:val="24"/>
          <w:highlight w:val="none"/>
        </w:rPr>
        <w:t>表</w:t>
      </w:r>
      <w:r>
        <w:rPr>
          <w:rFonts w:hint="default" w:ascii="Times New Roman" w:hAnsi="Times New Roman" w:cs="Times New Roman"/>
          <w:b/>
          <w:bCs/>
          <w:sz w:val="24"/>
          <w:szCs w:val="24"/>
          <w:highlight w:val="none"/>
          <w:lang w:val="en-US" w:eastAsia="zh-CN"/>
        </w:rPr>
        <w:t>4</w:t>
      </w:r>
      <w:r>
        <w:rPr>
          <w:rFonts w:hint="eastAsia" w:ascii="Times New Roman" w:hAnsi="Times New Roman" w:cs="Times New Roman"/>
          <w:b/>
          <w:bCs/>
          <w:sz w:val="24"/>
          <w:szCs w:val="24"/>
          <w:highlight w:val="none"/>
          <w:lang w:val="en-US" w:eastAsia="zh-CN"/>
        </w:rPr>
        <w:t>-5</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val="en-US" w:eastAsia="zh-CN"/>
        </w:rPr>
        <w:t>泵运输排查</w:t>
      </w:r>
    </w:p>
    <w:tbl>
      <w:tblPr>
        <w:tblStyle w:val="22"/>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160"/>
        <w:gridCol w:w="1534"/>
        <w:gridCol w:w="1449"/>
        <w:gridCol w:w="1642"/>
        <w:gridCol w:w="165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19"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使用类型</w:t>
            </w:r>
          </w:p>
        </w:tc>
        <w:tc>
          <w:tcPr>
            <w:tcW w:w="1096"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存在污染</w:t>
            </w:r>
          </w:p>
        </w:tc>
        <w:tc>
          <w:tcPr>
            <w:tcW w:w="778"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治理措施</w:t>
            </w:r>
          </w:p>
        </w:tc>
        <w:tc>
          <w:tcPr>
            <w:tcW w:w="735"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日常管理</w:t>
            </w:r>
          </w:p>
        </w:tc>
        <w:tc>
          <w:tcPr>
            <w:tcW w:w="833"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造成土壤污染方式</w:t>
            </w:r>
          </w:p>
        </w:tc>
        <w:tc>
          <w:tcPr>
            <w:tcW w:w="837"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719"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lang w:val="en-US" w:eastAsia="zh-CN"/>
              </w:rPr>
              <w:t>液体输送泵</w:t>
            </w:r>
          </w:p>
        </w:tc>
        <w:tc>
          <w:tcPr>
            <w:tcW w:w="1096"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kern w:val="0"/>
                <w:sz w:val="21"/>
                <w:szCs w:val="21"/>
                <w:highlight w:val="none"/>
                <w:vertAlign w:val="baseline"/>
                <w:lang w:val="en-US" w:eastAsia="zh-CN" w:bidi="ar"/>
              </w:rPr>
              <w:t>硫磺、甲醇、氮（压缩的）、氨（液化的）、氯酸钠、二氧化硫（液化的）、二氧化碳</w:t>
            </w:r>
            <w:r>
              <w:rPr>
                <w:rFonts w:hint="eastAsia" w:ascii="Times New Roman" w:hAnsi="Times New Roman" w:cs="Times New Roman"/>
                <w:kern w:val="0"/>
                <w:sz w:val="21"/>
                <w:szCs w:val="21"/>
                <w:highlight w:val="none"/>
                <w:vertAlign w:val="baseline"/>
                <w:lang w:val="en-US" w:eastAsia="zh-CN" w:bidi="ar"/>
              </w:rPr>
              <w:t>等</w:t>
            </w:r>
          </w:p>
        </w:tc>
        <w:tc>
          <w:tcPr>
            <w:tcW w:w="778" w:type="pct"/>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both"/>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泵下方地面水泥硬化防渗</w:t>
            </w:r>
            <w:r>
              <w:rPr>
                <w:rFonts w:hint="default" w:ascii="Times New Roman" w:hAnsi="Times New Roman" w:cs="Times New Roman"/>
                <w:sz w:val="21"/>
                <w:szCs w:val="21"/>
                <w:highlight w:val="none"/>
                <w:vertAlign w:val="baseline"/>
                <w:lang w:val="en-US" w:eastAsia="zh-CN"/>
              </w:rPr>
              <w:t>，</w:t>
            </w:r>
            <w:r>
              <w:rPr>
                <w:rFonts w:hint="eastAsia" w:ascii="Times New Roman" w:hAnsi="Times New Roman" w:cs="Times New Roman"/>
                <w:sz w:val="21"/>
                <w:szCs w:val="21"/>
                <w:highlight w:val="none"/>
                <w:vertAlign w:val="baseline"/>
                <w:lang w:val="en-US" w:eastAsia="zh-CN"/>
              </w:rPr>
              <w:t>泵体离地，</w:t>
            </w:r>
            <w:r>
              <w:rPr>
                <w:rFonts w:hint="default" w:ascii="Times New Roman" w:hAnsi="Times New Roman" w:cs="Times New Roman"/>
                <w:sz w:val="21"/>
                <w:szCs w:val="21"/>
                <w:highlight w:val="none"/>
                <w:vertAlign w:val="baseline"/>
                <w:lang w:val="en-US" w:eastAsia="zh-CN"/>
              </w:rPr>
              <w:t>原料混合区域设置围堰</w:t>
            </w:r>
          </w:p>
        </w:tc>
        <w:tc>
          <w:tcPr>
            <w:tcW w:w="735"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定期检查运行状态并维护</w:t>
            </w:r>
          </w:p>
        </w:tc>
        <w:tc>
          <w:tcPr>
            <w:tcW w:w="833"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泄漏、溢流</w:t>
            </w:r>
          </w:p>
        </w:tc>
        <w:tc>
          <w:tcPr>
            <w:tcW w:w="837"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 xml:space="preserve">齿轮、泵轴、溢流口 </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9" w:hRule="atLeast"/>
        </w:trPr>
        <w:tc>
          <w:tcPr>
            <w:tcW w:w="2593" w:type="pct"/>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2964815" cy="2223770"/>
                  <wp:effectExtent l="0" t="0" r="6985" b="1270"/>
                  <wp:docPr id="2" name="图片 2" descr="C:/Users/Administrator/AppData/Local/Temp/picturecompress_20210930180217/output_29.jp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10930180217/output_29.jpgoutput_29"/>
                          <pic:cNvPicPr>
                            <a:picLocks noChangeAspect="1"/>
                          </pic:cNvPicPr>
                        </pic:nvPicPr>
                        <pic:blipFill>
                          <a:blip r:embed="rId49"/>
                          <a:stretch>
                            <a:fillRect/>
                          </a:stretch>
                        </pic:blipFill>
                        <pic:spPr>
                          <a:xfrm>
                            <a:off x="0" y="0"/>
                            <a:ext cx="2964815" cy="2223770"/>
                          </a:xfrm>
                          <a:prstGeom prst="rect">
                            <a:avLst/>
                          </a:prstGeom>
                        </pic:spPr>
                      </pic:pic>
                    </a:graphicData>
                  </a:graphic>
                </wp:inline>
              </w:drawing>
            </w:r>
          </w:p>
        </w:tc>
        <w:tc>
          <w:tcPr>
            <w:tcW w:w="2406" w:type="pct"/>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2964815" cy="2223770"/>
                  <wp:effectExtent l="0" t="0" r="6985" b="1270"/>
                  <wp:docPr id="10" name="图片 10" descr="C:/Users/Administrator/AppData/Local/Temp/picturecompress_20210930180217/output_30.jpgoutput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picturecompress_20210930180217/output_30.jpgoutput_30"/>
                          <pic:cNvPicPr>
                            <a:picLocks noChangeAspect="1"/>
                          </pic:cNvPicPr>
                        </pic:nvPicPr>
                        <pic:blipFill>
                          <a:blip r:embed="rId50"/>
                          <a:stretch>
                            <a:fillRect/>
                          </a:stretch>
                        </pic:blipFill>
                        <pic:spPr>
                          <a:xfrm>
                            <a:off x="0" y="0"/>
                            <a:ext cx="2964815" cy="222377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9" w:hRule="atLeast"/>
        </w:trPr>
        <w:tc>
          <w:tcPr>
            <w:tcW w:w="2593" w:type="pct"/>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2984500" cy="2238375"/>
                  <wp:effectExtent l="0" t="0" r="2540" b="1905"/>
                  <wp:docPr id="11" name="图片 11" descr="C:/Users/Administrator/AppData/Local/Temp/picturecompress_20210930180217/output_31.jpgoutput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picturecompress_20210930180217/output_31.jpgoutput_31"/>
                          <pic:cNvPicPr>
                            <a:picLocks noChangeAspect="1"/>
                          </pic:cNvPicPr>
                        </pic:nvPicPr>
                        <pic:blipFill>
                          <a:blip r:embed="rId51"/>
                          <a:stretch>
                            <a:fillRect/>
                          </a:stretch>
                        </pic:blipFill>
                        <pic:spPr>
                          <a:xfrm>
                            <a:off x="0" y="0"/>
                            <a:ext cx="2984500" cy="2238375"/>
                          </a:xfrm>
                          <a:prstGeom prst="rect">
                            <a:avLst/>
                          </a:prstGeom>
                        </pic:spPr>
                      </pic:pic>
                    </a:graphicData>
                  </a:graphic>
                </wp:inline>
              </w:drawing>
            </w:r>
          </w:p>
        </w:tc>
        <w:tc>
          <w:tcPr>
            <w:tcW w:w="2406" w:type="pct"/>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2807335" cy="2311400"/>
                  <wp:effectExtent l="0" t="0" r="12065" b="5080"/>
                  <wp:docPr id="94" name="图片 94" descr="C:/Users/Administrator/AppData/Local/Temp/picturecompress_20210930180217/output_32.jpgoutput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dministrator/AppData/Local/Temp/picturecompress_20210930180217/output_32.jpgoutput_32"/>
                          <pic:cNvPicPr>
                            <a:picLocks noChangeAspect="1"/>
                          </pic:cNvPicPr>
                        </pic:nvPicPr>
                        <pic:blipFill>
                          <a:blip r:embed="rId52"/>
                          <a:srcRect/>
                          <a:stretch>
                            <a:fillRect/>
                          </a:stretch>
                        </pic:blipFill>
                        <pic:spPr>
                          <a:xfrm>
                            <a:off x="0" y="0"/>
                            <a:ext cx="2807335" cy="231140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000" w:type="pct"/>
            <w:gridSpan w:val="6"/>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图</w:t>
            </w:r>
            <w:r>
              <w:rPr>
                <w:rFonts w:hint="default" w:ascii="Times New Roman" w:hAnsi="Times New Roman" w:cs="Times New Roman"/>
                <w:sz w:val="21"/>
                <w:szCs w:val="21"/>
                <w:highlight w:val="none"/>
                <w:lang w:val="en-US" w:eastAsia="zh-CN"/>
              </w:rPr>
              <w:t>4</w:t>
            </w:r>
            <w:r>
              <w:rPr>
                <w:rFonts w:hint="eastAsia"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 xml:space="preserve"> </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泵运输</w:t>
            </w:r>
          </w:p>
        </w:tc>
      </w:tr>
    </w:tbl>
    <w:p>
      <w:pPr>
        <w:keepNext w:val="0"/>
        <w:keepLines w:val="0"/>
        <w:pageBreakBefore w:val="0"/>
        <w:widowControl/>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lang w:val="en-US" w:eastAsia="zh-CN"/>
        </w:rPr>
        <w:t>4.1</w:t>
      </w:r>
      <w:r>
        <w:rPr>
          <w:rFonts w:hint="default" w:ascii="Times New Roman" w:hAnsi="Times New Roman" w:cs="Times New Roman"/>
          <w:b/>
          <w:bCs/>
          <w:sz w:val="28"/>
          <w:szCs w:val="28"/>
          <w:highlight w:val="none"/>
        </w:rPr>
        <w:t>.3  货物的储存和运输区</w:t>
      </w:r>
    </w:p>
    <w:p>
      <w:pPr>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w:t>
      </w:r>
      <w:r>
        <w:rPr>
          <w:rFonts w:hint="default" w:ascii="Times New Roman" w:hAnsi="Times New Roman" w:cs="Times New Roman"/>
          <w:sz w:val="28"/>
          <w:szCs w:val="28"/>
          <w:highlight w:val="none"/>
        </w:rPr>
        <w:t>.3.1 散装</w:t>
      </w:r>
      <w:r>
        <w:rPr>
          <w:rFonts w:hint="eastAsia" w:ascii="Times New Roman" w:hAnsi="Times New Roman" w:cs="Times New Roman"/>
          <w:sz w:val="28"/>
          <w:szCs w:val="28"/>
          <w:highlight w:val="none"/>
          <w:lang w:val="en-US" w:eastAsia="zh-CN"/>
        </w:rPr>
        <w:t>货物</w:t>
      </w:r>
      <w:r>
        <w:rPr>
          <w:rFonts w:hint="default" w:ascii="Times New Roman" w:hAnsi="Times New Roman" w:cs="Times New Roman"/>
          <w:sz w:val="28"/>
          <w:szCs w:val="28"/>
          <w:highlight w:val="none"/>
        </w:rPr>
        <w:t>的存储与运输</w:t>
      </w:r>
    </w:p>
    <w:p>
      <w:pPr>
        <w:spacing w:line="360" w:lineRule="auto"/>
        <w:ind w:firstLine="560" w:firstLineChars="200"/>
        <w:rPr>
          <w:rFonts w:hint="default" w:ascii="Times New Roman" w:hAnsi="Times New Roman" w:cs="Times New Roman"/>
          <w:color w:val="auto"/>
          <w:sz w:val="28"/>
          <w:szCs w:val="28"/>
          <w:highlight w:val="none"/>
          <w:lang w:val="en-US" w:eastAsia="zh-CN"/>
        </w:rPr>
      </w:pPr>
      <w:r>
        <w:rPr>
          <w:rFonts w:hint="eastAsia" w:ascii="Times New Roman" w:hAnsi="Times New Roman" w:cs="Times New Roman"/>
          <w:color w:val="auto"/>
          <w:sz w:val="28"/>
          <w:szCs w:val="28"/>
          <w:highlight w:val="none"/>
          <w:lang w:val="en-US" w:eastAsia="zh-CN"/>
        </w:rPr>
        <w:t>散装</w:t>
      </w:r>
      <w:r>
        <w:rPr>
          <w:rFonts w:hint="eastAsia" w:ascii="Times New Roman" w:hAnsi="Times New Roman" w:cs="Times New Roman"/>
          <w:sz w:val="28"/>
          <w:szCs w:val="28"/>
          <w:highlight w:val="none"/>
          <w:lang w:val="en-US" w:eastAsia="zh-CN"/>
        </w:rPr>
        <w:t>货物</w:t>
      </w:r>
      <w:r>
        <w:rPr>
          <w:rFonts w:hint="eastAsia" w:ascii="Times New Roman" w:hAnsi="Times New Roman" w:cs="Times New Roman"/>
          <w:color w:val="auto"/>
          <w:sz w:val="28"/>
          <w:szCs w:val="28"/>
          <w:highlight w:val="none"/>
          <w:lang w:val="en-US" w:eastAsia="zh-CN"/>
        </w:rPr>
        <w:t>的储存与运输可能造成的土壤污染方式有：散装干货物因雨水或者防尘喷淋水冲刷进入土壤；散装湿货物因雨水冲刷以及渗出有毒有害液体物质进入土壤。采取以下措施但不仅限于以下措施可有效避免散装</w:t>
      </w:r>
      <w:r>
        <w:rPr>
          <w:rFonts w:hint="eastAsia" w:ascii="Times New Roman" w:hAnsi="Times New Roman" w:cs="Times New Roman"/>
          <w:sz w:val="28"/>
          <w:szCs w:val="28"/>
          <w:highlight w:val="none"/>
          <w:lang w:val="en-US" w:eastAsia="zh-CN"/>
        </w:rPr>
        <w:t>货物</w:t>
      </w:r>
      <w:r>
        <w:rPr>
          <w:rFonts w:hint="eastAsia" w:ascii="Times New Roman" w:hAnsi="Times New Roman" w:cs="Times New Roman"/>
          <w:color w:val="auto"/>
          <w:sz w:val="28"/>
          <w:szCs w:val="28"/>
          <w:highlight w:val="none"/>
          <w:lang w:val="en-US" w:eastAsia="zh-CN"/>
        </w:rPr>
        <w:t>存储与运输过程中对土壤造成的危害：注意避免雨水冲刷，如设置苫盖或着顶棚；设置防渗阻隔系统，能够有效防止雨水进入，或者及时有效排除雨水；渗漏、流失的液体能得到有效收集并定期清理；日常目视检查、维护；加强员工培训，能有效应对泄漏事件，定期开展防渗效果检查。</w:t>
      </w:r>
    </w:p>
    <w:p>
      <w:pPr>
        <w:spacing w:line="360" w:lineRule="auto"/>
        <w:ind w:firstLine="560" w:firstLineChars="200"/>
        <w:rPr>
          <w:rFonts w:hint="eastAsia" w:ascii="Times New Roman" w:hAnsi="Times New Roman" w:cs="Times New Roman"/>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公司涉及到的</w:t>
      </w:r>
      <w:r>
        <w:rPr>
          <w:rFonts w:hint="default" w:ascii="Times New Roman" w:hAnsi="Times New Roman" w:cs="Times New Roman"/>
          <w:sz w:val="28"/>
          <w:szCs w:val="28"/>
          <w:highlight w:val="none"/>
        </w:rPr>
        <w:t>散装</w:t>
      </w:r>
      <w:r>
        <w:rPr>
          <w:rFonts w:hint="eastAsia" w:ascii="Times New Roman" w:hAnsi="Times New Roman" w:cs="Times New Roman"/>
          <w:sz w:val="28"/>
          <w:szCs w:val="28"/>
          <w:highlight w:val="none"/>
          <w:lang w:val="en-US" w:eastAsia="zh-CN"/>
        </w:rPr>
        <w:t>货物</w:t>
      </w:r>
      <w:r>
        <w:rPr>
          <w:rFonts w:hint="default" w:ascii="Times New Roman" w:hAnsi="Times New Roman" w:cs="Times New Roman"/>
          <w:sz w:val="28"/>
          <w:szCs w:val="28"/>
          <w:highlight w:val="none"/>
        </w:rPr>
        <w:t>的存储与运输</w:t>
      </w:r>
      <w:r>
        <w:rPr>
          <w:rFonts w:hint="eastAsia" w:ascii="Times New Roman" w:hAnsi="Times New Roman" w:cs="Times New Roman"/>
          <w:sz w:val="28"/>
          <w:szCs w:val="28"/>
          <w:highlight w:val="none"/>
          <w:lang w:val="en-US" w:eastAsia="zh-CN"/>
        </w:rPr>
        <w:t>主要为生产产品合成保险粉。公司建设1处成品库用于储存生产成品保险粉。保险粉的包装方式为罐装，一般采用卡车运输和管道运输。仓库地面均做水泥硬化处理，布置规范，工人定期检查，操作规范，及时清扫遗漏货物，对土壤污染影响极小。</w:t>
      </w:r>
    </w:p>
    <w:p>
      <w:pPr>
        <w:spacing w:line="360" w:lineRule="auto"/>
        <w:jc w:val="center"/>
        <w:rPr>
          <w:rFonts w:hint="eastAsia"/>
          <w:lang w:val="en-US" w:eastAsia="zh-CN"/>
        </w:rPr>
      </w:pPr>
      <w:r>
        <w:rPr>
          <w:rFonts w:hint="default" w:ascii="Times New Roman" w:hAnsi="Times New Roman" w:eastAsia="宋体" w:cs="Times New Roman"/>
          <w:b/>
          <w:bCs/>
          <w:sz w:val="24"/>
          <w:szCs w:val="24"/>
          <w:highlight w:val="none"/>
        </w:rPr>
        <w:t>表</w:t>
      </w:r>
      <w:r>
        <w:rPr>
          <w:rFonts w:hint="default" w:ascii="Times New Roman" w:hAnsi="Times New Roman" w:cs="Times New Roman"/>
          <w:b/>
          <w:bCs/>
          <w:sz w:val="24"/>
          <w:szCs w:val="24"/>
          <w:highlight w:val="none"/>
          <w:lang w:val="en-US" w:eastAsia="zh-CN"/>
        </w:rPr>
        <w:t>4</w:t>
      </w:r>
      <w:r>
        <w:rPr>
          <w:rFonts w:hint="eastAsia" w:ascii="Times New Roman" w:hAnsi="Times New Roman" w:cs="Times New Roman"/>
          <w:b/>
          <w:bCs/>
          <w:sz w:val="24"/>
          <w:szCs w:val="24"/>
          <w:highlight w:val="none"/>
          <w:lang w:val="en-US" w:eastAsia="zh-CN"/>
        </w:rPr>
        <w:t>-6</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cs="Times New Roman"/>
          <w:b/>
          <w:bCs/>
          <w:sz w:val="24"/>
          <w:szCs w:val="24"/>
          <w:highlight w:val="none"/>
          <w:lang w:val="en-US" w:eastAsia="zh-CN"/>
        </w:rPr>
        <w:t xml:space="preserve">  散装货物的存储与运输</w:t>
      </w:r>
      <w:r>
        <w:rPr>
          <w:rFonts w:hint="default" w:ascii="Times New Roman" w:hAnsi="Times New Roman" w:eastAsia="宋体" w:cs="Times New Roman"/>
          <w:b/>
          <w:bCs/>
          <w:sz w:val="24"/>
          <w:szCs w:val="24"/>
          <w:highlight w:val="none"/>
          <w:lang w:val="en-US" w:eastAsia="zh-CN"/>
        </w:rPr>
        <w:t>排查</w:t>
      </w:r>
    </w:p>
    <w:tbl>
      <w:tblPr>
        <w:tblStyle w:val="22"/>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219"/>
        <w:gridCol w:w="2073"/>
        <w:gridCol w:w="47"/>
        <w:gridCol w:w="1580"/>
        <w:gridCol w:w="1649"/>
        <w:gridCol w:w="165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634" w:type="dxa"/>
            <w:tcBorders>
              <w:tl2br w:val="nil"/>
              <w:tr2bl w:val="nil"/>
            </w:tcBorders>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使用类型</w:t>
            </w:r>
          </w:p>
        </w:tc>
        <w:tc>
          <w:tcPr>
            <w:tcW w:w="1219" w:type="dxa"/>
            <w:tcBorders>
              <w:tl2br w:val="nil"/>
              <w:tr2bl w:val="nil"/>
            </w:tcBorders>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存在污染</w:t>
            </w:r>
          </w:p>
        </w:tc>
        <w:tc>
          <w:tcPr>
            <w:tcW w:w="2120" w:type="dxa"/>
            <w:gridSpan w:val="2"/>
            <w:tcBorders>
              <w:tl2br w:val="nil"/>
              <w:tr2bl w:val="nil"/>
            </w:tcBorders>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治理措施</w:t>
            </w:r>
          </w:p>
        </w:tc>
        <w:tc>
          <w:tcPr>
            <w:tcW w:w="1580" w:type="dxa"/>
            <w:tcBorders>
              <w:tl2br w:val="nil"/>
              <w:tr2bl w:val="nil"/>
            </w:tcBorders>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日常管理</w:t>
            </w:r>
          </w:p>
        </w:tc>
        <w:tc>
          <w:tcPr>
            <w:tcW w:w="1649" w:type="dxa"/>
            <w:tcBorders>
              <w:tl2br w:val="nil"/>
              <w:tr2bl w:val="nil"/>
            </w:tcBorders>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造成土壤污染方式</w:t>
            </w:r>
          </w:p>
        </w:tc>
        <w:tc>
          <w:tcPr>
            <w:tcW w:w="1651" w:type="dxa"/>
            <w:tcBorders>
              <w:tl2br w:val="nil"/>
              <w:tr2bl w:val="nil"/>
            </w:tcBorders>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1634"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成品库</w:t>
            </w:r>
          </w:p>
        </w:tc>
        <w:tc>
          <w:tcPr>
            <w:tcW w:w="121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kern w:val="1"/>
                <w:sz w:val="21"/>
                <w:szCs w:val="21"/>
                <w:highlight w:val="none"/>
                <w:lang w:val="en-US" w:eastAsia="zh-CN"/>
              </w:rPr>
              <w:t>连二亚硫酸钠</w:t>
            </w:r>
            <w:r>
              <w:rPr>
                <w:rFonts w:hint="eastAsia" w:cs="Times New Roman"/>
                <w:kern w:val="1"/>
                <w:sz w:val="21"/>
                <w:szCs w:val="21"/>
                <w:highlight w:val="none"/>
                <w:lang w:val="en-US" w:eastAsia="zh-CN"/>
              </w:rPr>
              <w:t>等</w:t>
            </w:r>
          </w:p>
        </w:tc>
        <w:tc>
          <w:tcPr>
            <w:tcW w:w="2120" w:type="dxa"/>
            <w:gridSpan w:val="2"/>
            <w:tcBorders>
              <w:tl2br w:val="nil"/>
              <w:tr2bl w:val="nil"/>
            </w:tcBorders>
            <w:vAlign w:val="center"/>
          </w:tcPr>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地面水泥硬化完好；2、货物储存规范；3、厂房密闭</w:t>
            </w:r>
          </w:p>
        </w:tc>
        <w:tc>
          <w:tcPr>
            <w:tcW w:w="158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定期检查，操作规范，及时清扫遗漏货物</w:t>
            </w:r>
          </w:p>
        </w:tc>
        <w:tc>
          <w:tcPr>
            <w:tcW w:w="164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地面破损、雨水侵入</w:t>
            </w:r>
          </w:p>
        </w:tc>
        <w:tc>
          <w:tcPr>
            <w:tcW w:w="165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地面完好程度、储存情况、厂房密闭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34"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综合仓库</w:t>
            </w:r>
          </w:p>
        </w:tc>
        <w:tc>
          <w:tcPr>
            <w:tcW w:w="121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val="en-US" w:eastAsia="zh-CN"/>
              </w:rPr>
              <w:t>/</w:t>
            </w:r>
          </w:p>
        </w:tc>
        <w:tc>
          <w:tcPr>
            <w:tcW w:w="2120" w:type="dxa"/>
            <w:gridSpan w:val="2"/>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val="en-US" w:eastAsia="zh-CN"/>
              </w:rPr>
              <w:t>1、地面水泥硬化完好；2、备体备件储存规范；3、厂房密闭</w:t>
            </w:r>
          </w:p>
        </w:tc>
        <w:tc>
          <w:tcPr>
            <w:tcW w:w="158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定期检查，操作规范，及时清扫遗漏货物</w:t>
            </w:r>
          </w:p>
        </w:tc>
        <w:tc>
          <w:tcPr>
            <w:tcW w:w="164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val="en-US" w:eastAsia="zh-CN"/>
              </w:rPr>
              <w:t>地面破损、雨水侵入</w:t>
            </w:r>
          </w:p>
        </w:tc>
        <w:tc>
          <w:tcPr>
            <w:tcW w:w="165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val="en-US" w:eastAsia="zh-CN"/>
              </w:rPr>
              <w:t>地面完好程度、储存情况、厂房密闭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4926" w:type="dxa"/>
            <w:gridSpan w:val="3"/>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cs="Times New Roman"/>
                <w:sz w:val="21"/>
                <w:szCs w:val="21"/>
                <w:highlight w:val="none"/>
                <w:lang w:val="en-US" w:eastAsia="zh-CN"/>
              </w:rPr>
            </w:pPr>
            <w:r>
              <w:rPr>
                <w:rFonts w:hint="default" w:ascii="Times New Roman" w:hAnsi="Times New Roman" w:eastAsia="宋体" w:cs="Times New Roman"/>
                <w:sz w:val="21"/>
                <w:szCs w:val="21"/>
                <w:lang w:eastAsia="zh-CN"/>
              </w:rPr>
              <w:drawing>
                <wp:inline distT="0" distB="0" distL="114300" distR="114300">
                  <wp:extent cx="2964815" cy="2223770"/>
                  <wp:effectExtent l="0" t="0" r="6985" b="1270"/>
                  <wp:docPr id="59" name="图片 59" descr="C:/Users/Administrator/AppData/Local/Temp/picturecompress_20210930180217/output_33.jpgoutpu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AppData/Local/Temp/picturecompress_20210930180217/output_33.jpgoutput_33"/>
                          <pic:cNvPicPr>
                            <a:picLocks noChangeAspect="1"/>
                          </pic:cNvPicPr>
                        </pic:nvPicPr>
                        <pic:blipFill>
                          <a:blip r:embed="rId53"/>
                          <a:stretch>
                            <a:fillRect/>
                          </a:stretch>
                        </pic:blipFill>
                        <pic:spPr>
                          <a:xfrm>
                            <a:off x="0" y="0"/>
                            <a:ext cx="2964815" cy="2223770"/>
                          </a:xfrm>
                          <a:prstGeom prst="rect">
                            <a:avLst/>
                          </a:prstGeom>
                        </pic:spPr>
                      </pic:pic>
                    </a:graphicData>
                  </a:graphic>
                </wp:inline>
              </w:drawing>
            </w:r>
          </w:p>
        </w:tc>
        <w:tc>
          <w:tcPr>
            <w:tcW w:w="4927" w:type="dxa"/>
            <w:gridSpan w:val="4"/>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cs="Times New Roman"/>
                <w:sz w:val="21"/>
                <w:szCs w:val="21"/>
                <w:highlight w:val="none"/>
                <w:lang w:val="en-US" w:eastAsia="zh-CN"/>
              </w:rPr>
            </w:pPr>
            <w:r>
              <w:rPr>
                <w:rFonts w:hint="default" w:ascii="Times New Roman" w:hAnsi="Times New Roman" w:eastAsia="宋体" w:cs="Times New Roman"/>
                <w:sz w:val="21"/>
                <w:szCs w:val="21"/>
                <w:lang w:eastAsia="zh-CN"/>
              </w:rPr>
              <w:drawing>
                <wp:inline distT="0" distB="0" distL="114300" distR="114300">
                  <wp:extent cx="2964815" cy="2223770"/>
                  <wp:effectExtent l="0" t="0" r="6985" b="1270"/>
                  <wp:docPr id="60" name="图片 60" descr="C:/Users/Administrator/AppData/Local/Temp/picturecompress_20210930180217/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strator/AppData/Local/Temp/picturecompress_20210930180217/output_34.jpgoutput_34"/>
                          <pic:cNvPicPr>
                            <a:picLocks noChangeAspect="1"/>
                          </pic:cNvPicPr>
                        </pic:nvPicPr>
                        <pic:blipFill>
                          <a:blip r:embed="rId54"/>
                          <a:stretch>
                            <a:fillRect/>
                          </a:stretch>
                        </pic:blipFill>
                        <pic:spPr>
                          <a:xfrm>
                            <a:off x="0" y="0"/>
                            <a:ext cx="2964815" cy="222377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926" w:type="dxa"/>
            <w:gridSpan w:val="3"/>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cs="Times New Roman"/>
                <w:sz w:val="21"/>
                <w:szCs w:val="21"/>
                <w:lang w:val="en-US" w:eastAsia="zh-CN"/>
              </w:rPr>
              <w:t>成品仓库</w:t>
            </w:r>
          </w:p>
        </w:tc>
        <w:tc>
          <w:tcPr>
            <w:tcW w:w="4927" w:type="dxa"/>
            <w:gridSpan w:val="4"/>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cs="Times New Roman"/>
                <w:sz w:val="21"/>
                <w:szCs w:val="21"/>
                <w:lang w:val="en-US" w:eastAsia="zh-CN"/>
              </w:rPr>
              <w:t>综合仓库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853" w:type="dxa"/>
            <w:gridSpan w:val="7"/>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jc w:val="center"/>
              <w:textAlignment w:val="auto"/>
              <w:rPr>
                <w:rFonts w:hint="default" w:ascii="Times New Roman" w:hAnsi="Times New Roman" w:cs="Times New Roman"/>
                <w:sz w:val="24"/>
                <w:szCs w:val="24"/>
              </w:rPr>
            </w:pPr>
            <w:r>
              <w:rPr>
                <w:rFonts w:hint="default" w:ascii="Times New Roman" w:hAnsi="Times New Roman" w:cs="Times New Roman"/>
                <w:sz w:val="21"/>
                <w:szCs w:val="21"/>
                <w:highlight w:val="none"/>
              </w:rPr>
              <w:t>图</w:t>
            </w:r>
            <w:r>
              <w:rPr>
                <w:rFonts w:hint="default" w:ascii="Times New Roman" w:hAnsi="Times New Roman" w:cs="Times New Roman"/>
                <w:sz w:val="21"/>
                <w:szCs w:val="21"/>
                <w:highlight w:val="none"/>
                <w:lang w:val="en-US" w:eastAsia="zh-CN"/>
              </w:rPr>
              <w:t>4</w:t>
            </w:r>
            <w:r>
              <w:rPr>
                <w:rFonts w:hint="eastAsia" w:cs="Times New Roman"/>
                <w:sz w:val="21"/>
                <w:szCs w:val="21"/>
                <w:highlight w:val="none"/>
                <w:lang w:val="en-US" w:eastAsia="zh-CN"/>
              </w:rPr>
              <w:t>-6</w:t>
            </w:r>
            <w:r>
              <w:rPr>
                <w:rFonts w:hint="default" w:ascii="Times New Roman" w:hAnsi="Times New Roman" w:cs="Times New Roman"/>
                <w:sz w:val="21"/>
                <w:szCs w:val="21"/>
                <w:highlight w:val="none"/>
              </w:rPr>
              <w:t xml:space="preserve"> </w:t>
            </w:r>
            <w:r>
              <w:rPr>
                <w:rFonts w:hint="default" w:ascii="Times New Roman" w:hAnsi="Times New Roman" w:cs="Times New Roman"/>
                <w:sz w:val="21"/>
                <w:szCs w:val="21"/>
                <w:highlight w:val="none"/>
                <w:lang w:val="en-US" w:eastAsia="zh-CN"/>
              </w:rPr>
              <w:t xml:space="preserve">  存储区</w:t>
            </w:r>
          </w:p>
        </w:tc>
      </w:tr>
    </w:tbl>
    <w:p>
      <w:pPr>
        <w:spacing w:beforeLines="50"/>
        <w:ind w:firstLine="0" w:firstLineChars="0"/>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lang w:val="en-US" w:eastAsia="zh-CN"/>
        </w:rPr>
        <w:t>4.1</w:t>
      </w:r>
      <w:r>
        <w:rPr>
          <w:rFonts w:hint="default" w:ascii="Times New Roman" w:hAnsi="Times New Roman" w:cs="Times New Roman"/>
          <w:b/>
          <w:bCs/>
          <w:sz w:val="28"/>
          <w:szCs w:val="28"/>
          <w:highlight w:val="none"/>
        </w:rPr>
        <w:t>.</w:t>
      </w:r>
      <w:r>
        <w:rPr>
          <w:rFonts w:hint="default" w:ascii="Times New Roman" w:hAnsi="Times New Roman" w:cs="Times New Roman"/>
          <w:b/>
          <w:bCs/>
          <w:sz w:val="28"/>
          <w:szCs w:val="28"/>
          <w:highlight w:val="none"/>
          <w:lang w:val="en-US" w:eastAsia="zh-CN"/>
        </w:rPr>
        <w:t>4</w:t>
      </w:r>
      <w:r>
        <w:rPr>
          <w:rFonts w:hint="default" w:ascii="Times New Roman" w:hAnsi="Times New Roman" w:cs="Times New Roman"/>
          <w:b/>
          <w:bCs/>
          <w:sz w:val="28"/>
          <w:szCs w:val="28"/>
          <w:highlight w:val="none"/>
        </w:rPr>
        <w:t xml:space="preserve"> 生产区</w:t>
      </w:r>
    </w:p>
    <w:p>
      <w:pPr>
        <w:ind w:firstLine="48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en-US" w:eastAsia="zh-CN"/>
        </w:rPr>
        <w:t>4</w:t>
      </w:r>
      <w:r>
        <w:rPr>
          <w:rFonts w:hint="default" w:ascii="Times New Roman" w:hAnsi="Times New Roman" w:cs="Times New Roman"/>
          <w:sz w:val="28"/>
          <w:szCs w:val="28"/>
          <w:highlight w:val="none"/>
        </w:rPr>
        <w:t>.1 密闭处理装置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default" w:ascii="Times New Roman" w:hAnsi="Times New Roman" w:eastAsia="宋体" w:cs="Times New Roman"/>
          <w:sz w:val="28"/>
          <w:szCs w:val="28"/>
          <w:highlight w:val="none"/>
          <w:lang w:val="en-US" w:eastAsia="zh-CN"/>
        </w:rPr>
      </w:pPr>
      <w:r>
        <w:rPr>
          <w:rFonts w:hint="eastAsia" w:ascii="Times New Roman" w:hAnsi="宋体" w:eastAsia="宋体" w:cs="Times New Roman"/>
          <w:kern w:val="2"/>
          <w:sz w:val="28"/>
          <w:szCs w:val="28"/>
        </w:rPr>
        <w:t>本工程保险粉的生产工艺为是以焦亚硫酸钠和二氧化硫为原料，以80%左右的甲醇水溶液作为分散介质，在密闭的搅拌容器内进行合成反应，生成保险粉。</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 xml:space="preserve">密闭的生产加工装置（如封闭反应釜等）主要通过管道进行填充和排空，封闭系统中所涉及的物料在正常情况下一般不会泄漏。密闭反应容器一般没有抽出口和容器检查孔等设计，焊接的管道也不设计法兰，只有在封闭系统破损时才容易发生泄漏导致土壤污染。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 xml:space="preserve">采用以下设计和建设，可以降低污染土壤的风险，包括但不限于：（1）采用全封闭式的设计；（2）将加工过程置于封闭的防渗设施中；（3）具有防雨和防渗设施设备；（4）具有系统检测装置等。  </w:t>
      </w:r>
    </w:p>
    <w:p>
      <w:pPr>
        <w:pStyle w:val="18"/>
        <w:keepNext w:val="0"/>
        <w:keepLines w:val="0"/>
        <w:pageBreakBefore w:val="0"/>
        <w:widowControl/>
        <w:kinsoku/>
        <w:wordWrap/>
        <w:overflowPunct/>
        <w:topLinePunct w:val="0"/>
        <w:autoSpaceDE/>
        <w:autoSpaceDN/>
        <w:bidi w:val="0"/>
        <w:adjustRightInd w:val="0"/>
        <w:snapToGrid w:val="0"/>
        <w:ind w:left="0" w:leftChars="0" w:firstLine="560"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sz w:val="28"/>
          <w:szCs w:val="28"/>
          <w:highlight w:val="none"/>
          <w:lang w:val="en-US" w:eastAsia="zh-CN"/>
        </w:rPr>
        <w:t>采用以下运行管理措施，可以降低污染土壤的风险，包括但不限于：（1）定期进行密闭系统检测；（2）具有系统维护程序等</w:t>
      </w:r>
      <w:r>
        <w:rPr>
          <w:rFonts w:hint="default" w:ascii="Times New Roman" w:hAnsi="Times New Roman"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highlight w:val="none"/>
        </w:rPr>
      </w:pPr>
      <w:r>
        <w:rPr>
          <w:rFonts w:hint="default" w:ascii="Times New Roman" w:hAnsi="Times New Roman" w:eastAsia="宋体" w:cs="Times New Roman"/>
          <w:b/>
          <w:bCs/>
          <w:sz w:val="24"/>
          <w:szCs w:val="24"/>
          <w:highlight w:val="none"/>
        </w:rPr>
        <w:t>表</w:t>
      </w:r>
      <w:r>
        <w:rPr>
          <w:rFonts w:hint="default" w:ascii="Times New Roman" w:hAnsi="Times New Roman" w:cs="Times New Roman"/>
          <w:b/>
          <w:bCs/>
          <w:sz w:val="24"/>
          <w:szCs w:val="24"/>
          <w:highlight w:val="none"/>
          <w:lang w:val="en-US" w:eastAsia="zh-CN"/>
        </w:rPr>
        <w:t>4</w:t>
      </w:r>
      <w:r>
        <w:rPr>
          <w:rFonts w:hint="eastAsia" w:ascii="Times New Roman" w:hAnsi="Times New Roman" w:cs="Times New Roman"/>
          <w:b/>
          <w:bCs/>
          <w:sz w:val="24"/>
          <w:szCs w:val="24"/>
          <w:highlight w:val="none"/>
          <w:lang w:val="en-US" w:eastAsia="zh-CN"/>
        </w:rPr>
        <w:t>-7</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cs="Times New Roman"/>
          <w:b/>
          <w:bCs/>
          <w:sz w:val="24"/>
          <w:szCs w:val="24"/>
          <w:highlight w:val="none"/>
          <w:lang w:val="en-US" w:eastAsia="zh-CN"/>
        </w:rPr>
        <w:t xml:space="preserve">  </w:t>
      </w:r>
      <w:r>
        <w:rPr>
          <w:rFonts w:hint="default" w:ascii="Times New Roman" w:hAnsi="Times New Roman" w:cs="Times New Roman"/>
          <w:b/>
          <w:bCs/>
          <w:sz w:val="24"/>
          <w:highlight w:val="none"/>
          <w:lang w:val="en-US" w:eastAsia="zh-CN"/>
        </w:rPr>
        <w:t>生产区</w:t>
      </w:r>
      <w:r>
        <w:rPr>
          <w:rFonts w:hint="default" w:ascii="Times New Roman" w:hAnsi="Times New Roman" w:eastAsia="宋体" w:cs="Times New Roman"/>
          <w:b/>
          <w:bCs/>
          <w:sz w:val="24"/>
          <w:szCs w:val="24"/>
          <w:highlight w:val="none"/>
          <w:lang w:val="en-US" w:eastAsia="zh-CN"/>
        </w:rPr>
        <w:t>排查</w:t>
      </w:r>
    </w:p>
    <w:tbl>
      <w:tblPr>
        <w:tblStyle w:val="22"/>
        <w:tblW w:w="5134"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2140"/>
        <w:gridCol w:w="1365"/>
        <w:gridCol w:w="867"/>
        <w:gridCol w:w="1506"/>
        <w:gridCol w:w="1217"/>
        <w:gridCol w:w="174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277"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eastAsia" w:ascii="Times New Roman" w:hAnsi="Times New Roman" w:cs="Times New Roman"/>
                <w:b w:val="0"/>
                <w:bCs/>
                <w:color w:val="auto"/>
                <w:sz w:val="21"/>
                <w:szCs w:val="21"/>
                <w:highlight w:val="none"/>
                <w:lang w:val="en-US" w:eastAsia="zh-CN"/>
              </w:rPr>
              <w:t>生产</w:t>
            </w:r>
            <w:r>
              <w:rPr>
                <w:rFonts w:hint="default" w:ascii="Times New Roman" w:hAnsi="Times New Roman" w:eastAsia="宋体" w:cs="Times New Roman"/>
                <w:b w:val="0"/>
                <w:bCs/>
                <w:color w:val="auto"/>
                <w:sz w:val="21"/>
                <w:szCs w:val="21"/>
                <w:highlight w:val="none"/>
                <w:lang w:val="en-US" w:eastAsia="zh-CN"/>
              </w:rPr>
              <w:t>区域</w:t>
            </w:r>
          </w:p>
        </w:tc>
        <w:tc>
          <w:tcPr>
            <w:tcW w:w="2140"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存在污染</w:t>
            </w:r>
          </w:p>
        </w:tc>
        <w:tc>
          <w:tcPr>
            <w:tcW w:w="2232" w:type="dxa"/>
            <w:gridSpan w:val="2"/>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治理措施</w:t>
            </w:r>
          </w:p>
        </w:tc>
        <w:tc>
          <w:tcPr>
            <w:tcW w:w="1506"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日常管理</w:t>
            </w:r>
          </w:p>
        </w:tc>
        <w:tc>
          <w:tcPr>
            <w:tcW w:w="1217"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b w:val="0"/>
                <w:bCs/>
                <w:color w:val="auto"/>
                <w:sz w:val="21"/>
                <w:szCs w:val="21"/>
                <w:highlight w:val="none"/>
                <w:lang w:val="en-US" w:eastAsia="zh-CN"/>
              </w:rPr>
              <w:t>造成土壤污染方式</w:t>
            </w:r>
          </w:p>
        </w:tc>
        <w:tc>
          <w:tcPr>
            <w:tcW w:w="1746"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77"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焦亚硫酸钠生产工艺</w:t>
            </w:r>
          </w:p>
        </w:tc>
        <w:tc>
          <w:tcPr>
            <w:tcW w:w="2140"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硫磺、二氧化硫、SO</w:t>
            </w:r>
            <w:r>
              <w:rPr>
                <w:rFonts w:hint="eastAsia" w:ascii="Times New Roman" w:hAnsi="Times New Roman" w:eastAsia="宋体" w:cs="Times New Roman"/>
                <w:kern w:val="0"/>
                <w:sz w:val="21"/>
                <w:szCs w:val="21"/>
                <w:highlight w:val="none"/>
                <w:vertAlign w:val="subscript"/>
                <w:lang w:val="en-US" w:eastAsia="zh-CN" w:bidi="ar-SA"/>
              </w:rPr>
              <w:t>3</w:t>
            </w:r>
            <w:r>
              <w:rPr>
                <w:rFonts w:hint="eastAsia" w:ascii="Times New Roman" w:hAnsi="Times New Roman" w:eastAsia="宋体" w:cs="Times New Roman"/>
                <w:kern w:val="0"/>
                <w:sz w:val="21"/>
                <w:szCs w:val="21"/>
                <w:highlight w:val="none"/>
                <w:lang w:val="en-US" w:eastAsia="zh-CN" w:bidi="ar-SA"/>
              </w:rPr>
              <w:t>、硫酸、焦亚硫酸钠、碳酸钠等</w:t>
            </w:r>
          </w:p>
        </w:tc>
        <w:tc>
          <w:tcPr>
            <w:tcW w:w="2232" w:type="dxa"/>
            <w:gridSpan w:val="2"/>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1、地面</w:t>
            </w:r>
            <w:r>
              <w:rPr>
                <w:rFonts w:hint="eastAsia" w:ascii="Times New Roman" w:hAnsi="Times New Roman" w:cs="Times New Roman"/>
                <w:sz w:val="21"/>
                <w:szCs w:val="21"/>
                <w:highlight w:val="none"/>
                <w:vertAlign w:val="baseline"/>
                <w:lang w:val="en-US" w:eastAsia="zh-CN"/>
              </w:rPr>
              <w:t>水泥硬化</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r>
              <w:rPr>
                <w:rFonts w:hint="default" w:ascii="Times New Roman" w:hAnsi="Times New Roman" w:eastAsia="宋体"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设置围堰</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3、设有防渗溢流装置</w:t>
            </w:r>
          </w:p>
        </w:tc>
        <w:tc>
          <w:tcPr>
            <w:tcW w:w="1506"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定期检查维护、应急措施</w:t>
            </w:r>
          </w:p>
        </w:tc>
        <w:tc>
          <w:tcPr>
            <w:tcW w:w="1217"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泄漏</w:t>
            </w:r>
          </w:p>
        </w:tc>
        <w:tc>
          <w:tcPr>
            <w:tcW w:w="1746"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进料口、出料口、基槽等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2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rPr>
            </w:pPr>
            <w:r>
              <w:rPr>
                <w:rFonts w:hint="default" w:ascii="Times New Roman" w:hAnsi="Times New Roman" w:eastAsia="宋体" w:cs="Times New Roman"/>
                <w:snapToGrid w:val="0"/>
                <w:color w:val="000000"/>
                <w:kern w:val="2"/>
                <w:sz w:val="21"/>
                <w:szCs w:val="21"/>
              </w:rPr>
              <w:t>保险粉</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生产工艺</w:t>
            </w:r>
          </w:p>
        </w:tc>
        <w:tc>
          <w:tcPr>
            <w:tcW w:w="2140"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甲酸钠、焦亚硫酸钠、环氧乙烷、二氧化硫、甲醇、保险粉等</w:t>
            </w:r>
          </w:p>
        </w:tc>
        <w:tc>
          <w:tcPr>
            <w:tcW w:w="2232" w:type="dxa"/>
            <w:gridSpan w:val="2"/>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1、地面</w:t>
            </w:r>
            <w:r>
              <w:rPr>
                <w:rFonts w:hint="eastAsia" w:ascii="Times New Roman" w:hAnsi="Times New Roman" w:cs="Times New Roman"/>
                <w:sz w:val="21"/>
                <w:szCs w:val="21"/>
                <w:highlight w:val="none"/>
                <w:vertAlign w:val="baseline"/>
                <w:lang w:val="en-US" w:eastAsia="zh-CN"/>
              </w:rPr>
              <w:t>水泥硬化</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cs="Times New Roman"/>
                <w:sz w:val="21"/>
                <w:szCs w:val="21"/>
                <w:highlight w:val="none"/>
                <w:vertAlign w:val="baseline"/>
                <w:lang w:val="en-US" w:eastAsia="zh-CN"/>
              </w:rPr>
            </w:pPr>
            <w:r>
              <w:rPr>
                <w:rFonts w:hint="default" w:ascii="Times New Roman" w:hAnsi="Times New Roman" w:cs="Times New Roman"/>
                <w:sz w:val="21"/>
                <w:szCs w:val="21"/>
                <w:highlight w:val="none"/>
                <w:vertAlign w:val="baseline"/>
                <w:lang w:val="en-US" w:eastAsia="zh-CN"/>
              </w:rPr>
              <w:t>2</w:t>
            </w:r>
            <w:r>
              <w:rPr>
                <w:rFonts w:hint="default" w:ascii="Times New Roman" w:hAnsi="Times New Roman" w:eastAsia="宋体"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设置围堰</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eastAsia" w:ascii="Times New Roman" w:hAnsi="Times New Roman" w:cs="Times New Roman"/>
                <w:sz w:val="21"/>
                <w:szCs w:val="21"/>
                <w:highlight w:val="none"/>
                <w:vertAlign w:val="baseline"/>
                <w:lang w:val="en-US" w:eastAsia="zh-CN"/>
              </w:rPr>
            </w:pPr>
            <w:r>
              <w:rPr>
                <w:rFonts w:hint="eastAsia" w:ascii="Times New Roman" w:hAnsi="Times New Roman" w:cs="Times New Roman"/>
                <w:sz w:val="21"/>
                <w:szCs w:val="21"/>
                <w:highlight w:val="none"/>
                <w:vertAlign w:val="baseline"/>
                <w:lang w:val="en-US" w:eastAsia="zh-CN"/>
              </w:rPr>
              <w:t>3、设有防渗溢流装置</w:t>
            </w:r>
          </w:p>
        </w:tc>
        <w:tc>
          <w:tcPr>
            <w:tcW w:w="1506"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定期检查维护、应急措施</w:t>
            </w:r>
          </w:p>
        </w:tc>
        <w:tc>
          <w:tcPr>
            <w:tcW w:w="1217"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vertAlign w:val="baseline"/>
                <w:lang w:val="en-US" w:eastAsia="zh-CN" w:bidi="ar"/>
              </w:rPr>
            </w:pPr>
            <w:r>
              <w:rPr>
                <w:rFonts w:hint="default" w:ascii="Times New Roman" w:hAnsi="Times New Roman" w:eastAsia="宋体" w:cs="Times New Roman"/>
                <w:sz w:val="21"/>
                <w:szCs w:val="21"/>
                <w:highlight w:val="none"/>
                <w:vertAlign w:val="baseline"/>
                <w:lang w:val="en-US" w:eastAsia="zh-CN"/>
              </w:rPr>
              <w:t>泄漏</w:t>
            </w:r>
          </w:p>
        </w:tc>
        <w:tc>
          <w:tcPr>
            <w:tcW w:w="1746" w:type="dxa"/>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cs="Times New Roman"/>
                <w:sz w:val="21"/>
                <w:szCs w:val="21"/>
                <w:highlight w:val="none"/>
              </w:rPr>
              <w:t>进料口、出料口、基槽等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782" w:type="dxa"/>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77160" cy="2007870"/>
                  <wp:effectExtent l="0" t="0" r="5080" b="3810"/>
                  <wp:docPr id="101" name="图片 101" descr="C:/Users/Administrator/AppData/Local/Temp/picturecompress_20210930180217/output_35.jp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strator/AppData/Local/Temp/picturecompress_20210930180217/output_35.jpgoutput_35"/>
                          <pic:cNvPicPr>
                            <a:picLocks noChangeAspect="1"/>
                          </pic:cNvPicPr>
                        </pic:nvPicPr>
                        <pic:blipFill>
                          <a:blip r:embed="rId55"/>
                          <a:stretch>
                            <a:fillRect/>
                          </a:stretch>
                        </pic:blipFill>
                        <pic:spPr>
                          <a:xfrm>
                            <a:off x="0" y="0"/>
                            <a:ext cx="2677160" cy="2007870"/>
                          </a:xfrm>
                          <a:prstGeom prst="rect">
                            <a:avLst/>
                          </a:prstGeom>
                        </pic:spPr>
                      </pic:pic>
                    </a:graphicData>
                  </a:graphic>
                </wp:inline>
              </w:drawing>
            </w:r>
          </w:p>
        </w:tc>
        <w:tc>
          <w:tcPr>
            <w:tcW w:w="5336" w:type="dxa"/>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10815" cy="2033270"/>
                  <wp:effectExtent l="0" t="0" r="1905" b="8890"/>
                  <wp:docPr id="102" name="图片 102" descr="C:/Users/Administrator/AppData/Local/Temp/picturecompress_20210930180217/output_36.jp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strator/AppData/Local/Temp/picturecompress_20210930180217/output_36.jpgoutput_36"/>
                          <pic:cNvPicPr>
                            <a:picLocks noChangeAspect="1"/>
                          </pic:cNvPicPr>
                        </pic:nvPicPr>
                        <pic:blipFill>
                          <a:blip r:embed="rId56"/>
                          <a:stretch>
                            <a:fillRect/>
                          </a:stretch>
                        </pic:blipFill>
                        <pic:spPr>
                          <a:xfrm>
                            <a:off x="0" y="0"/>
                            <a:ext cx="2710815" cy="203327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0118" w:type="dxa"/>
            <w:gridSpan w:val="7"/>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保险粉生产工艺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7" w:hRule="atLeast"/>
        </w:trPr>
        <w:tc>
          <w:tcPr>
            <w:tcW w:w="4782" w:type="dxa"/>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459990" cy="2254250"/>
                  <wp:effectExtent l="0" t="0" r="8890" b="1270"/>
                  <wp:docPr id="99" name="图片 99" descr="C:/Users/Administrator/AppData/Local/Temp/picturecompress_20210930180217/output_37.jpgoutpu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strator/AppData/Local/Temp/picturecompress_20210930180217/output_37.jpgoutput_37"/>
                          <pic:cNvPicPr>
                            <a:picLocks noChangeAspect="1"/>
                          </pic:cNvPicPr>
                        </pic:nvPicPr>
                        <pic:blipFill>
                          <a:blip r:embed="rId57"/>
                          <a:srcRect/>
                          <a:stretch>
                            <a:fillRect/>
                          </a:stretch>
                        </pic:blipFill>
                        <pic:spPr>
                          <a:xfrm>
                            <a:off x="0" y="0"/>
                            <a:ext cx="2459990" cy="2254250"/>
                          </a:xfrm>
                          <a:prstGeom prst="rect">
                            <a:avLst/>
                          </a:prstGeom>
                        </pic:spPr>
                      </pic:pic>
                    </a:graphicData>
                  </a:graphic>
                </wp:inline>
              </w:drawing>
            </w:r>
          </w:p>
        </w:tc>
        <w:tc>
          <w:tcPr>
            <w:tcW w:w="5336" w:type="dxa"/>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80640" cy="2233930"/>
                  <wp:effectExtent l="0" t="0" r="10160" b="6350"/>
                  <wp:docPr id="100" name="图片 100" descr="C:/Users/Administrator/AppData/Local/Temp/picturecompress_20210930180217/output_38.jpgoutput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AppData/Local/Temp/picturecompress_20210930180217/output_38.jpgoutput_38"/>
                          <pic:cNvPicPr>
                            <a:picLocks noChangeAspect="1"/>
                          </pic:cNvPicPr>
                        </pic:nvPicPr>
                        <pic:blipFill>
                          <a:blip r:embed="rId58"/>
                          <a:srcRect/>
                          <a:stretch>
                            <a:fillRect/>
                          </a:stretch>
                        </pic:blipFill>
                        <pic:spPr>
                          <a:xfrm>
                            <a:off x="0" y="0"/>
                            <a:ext cx="2580640" cy="223393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0118" w:type="dxa"/>
            <w:gridSpan w:val="7"/>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焦亚车间反应装置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9" w:hRule="atLeast"/>
        </w:trPr>
        <w:tc>
          <w:tcPr>
            <w:tcW w:w="4782" w:type="dxa"/>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512060" cy="2548890"/>
                  <wp:effectExtent l="0" t="0" r="2540" b="11430"/>
                  <wp:docPr id="97" name="图片 97" descr="C:/Users/Administrator/AppData/Local/Temp/picturecompress_20210930180217/output_39.jpgoutpu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strator/AppData/Local/Temp/picturecompress_20210930180217/output_39.jpgoutput_39"/>
                          <pic:cNvPicPr>
                            <a:picLocks noChangeAspect="1"/>
                          </pic:cNvPicPr>
                        </pic:nvPicPr>
                        <pic:blipFill>
                          <a:blip r:embed="rId59"/>
                          <a:stretch>
                            <a:fillRect/>
                          </a:stretch>
                        </pic:blipFill>
                        <pic:spPr>
                          <a:xfrm>
                            <a:off x="0" y="0"/>
                            <a:ext cx="2512060" cy="2548890"/>
                          </a:xfrm>
                          <a:prstGeom prst="rect">
                            <a:avLst/>
                          </a:prstGeom>
                        </pic:spPr>
                      </pic:pic>
                    </a:graphicData>
                  </a:graphic>
                </wp:inline>
              </w:drawing>
            </w:r>
          </w:p>
        </w:tc>
        <w:tc>
          <w:tcPr>
            <w:tcW w:w="5336" w:type="dxa"/>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11755" cy="2564130"/>
                  <wp:effectExtent l="0" t="0" r="9525" b="11430"/>
                  <wp:docPr id="98" name="图片 98" descr="C:/Users/Administrator/AppData/Local/Temp/picturecompress_20210930180217/output_40.jpgoutput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AppData/Local/Temp/picturecompress_20210930180217/output_40.jpgoutput_40"/>
                          <pic:cNvPicPr>
                            <a:picLocks noChangeAspect="1"/>
                          </pic:cNvPicPr>
                        </pic:nvPicPr>
                        <pic:blipFill>
                          <a:blip r:embed="rId60"/>
                          <a:stretch>
                            <a:fillRect/>
                          </a:stretch>
                        </pic:blipFill>
                        <pic:spPr>
                          <a:xfrm>
                            <a:off x="0" y="0"/>
                            <a:ext cx="2611755" cy="256413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0118" w:type="dxa"/>
            <w:gridSpan w:val="7"/>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车间导流槽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118" w:type="dxa"/>
            <w:gridSpan w:val="7"/>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图</w:t>
            </w:r>
            <w:r>
              <w:rPr>
                <w:rFonts w:hint="default" w:ascii="Times New Roman" w:hAnsi="Times New Roman" w:cs="Times New Roman"/>
                <w:sz w:val="21"/>
                <w:szCs w:val="21"/>
                <w:highlight w:val="none"/>
                <w:lang w:val="en-US" w:eastAsia="zh-CN"/>
              </w:rPr>
              <w:t>4</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rPr>
              <w:t xml:space="preserve"> </w:t>
            </w:r>
            <w:r>
              <w:rPr>
                <w:rFonts w:hint="default" w:ascii="Times New Roman" w:hAnsi="Times New Roman" w:cs="Times New Roman"/>
                <w:sz w:val="21"/>
                <w:szCs w:val="21"/>
                <w:highlight w:val="none"/>
                <w:lang w:val="en-US" w:eastAsia="zh-CN"/>
              </w:rPr>
              <w:t xml:space="preserve">  生产区</w:t>
            </w:r>
          </w:p>
        </w:tc>
      </w:tr>
    </w:tbl>
    <w:p>
      <w:pPr>
        <w:spacing w:beforeLines="50"/>
        <w:ind w:firstLine="0" w:firstLineChars="0"/>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lang w:val="en-US" w:eastAsia="zh-CN"/>
        </w:rPr>
        <w:t>4.1</w:t>
      </w:r>
      <w:r>
        <w:rPr>
          <w:rFonts w:hint="default" w:ascii="Times New Roman" w:hAnsi="Times New Roman" w:cs="Times New Roman"/>
          <w:b/>
          <w:bCs/>
          <w:sz w:val="28"/>
          <w:szCs w:val="28"/>
          <w:highlight w:val="none"/>
        </w:rPr>
        <w:t>.</w:t>
      </w:r>
      <w:r>
        <w:rPr>
          <w:rFonts w:hint="default" w:ascii="Times New Roman" w:hAnsi="Times New Roman" w:cs="Times New Roman"/>
          <w:b/>
          <w:bCs/>
          <w:sz w:val="28"/>
          <w:szCs w:val="28"/>
          <w:highlight w:val="none"/>
          <w:lang w:val="en-US" w:eastAsia="zh-CN"/>
        </w:rPr>
        <w:t>5</w:t>
      </w:r>
      <w:r>
        <w:rPr>
          <w:rFonts w:hint="default" w:ascii="Times New Roman" w:hAnsi="Times New Roman" w:cs="Times New Roman"/>
          <w:b/>
          <w:bCs/>
          <w:sz w:val="28"/>
          <w:szCs w:val="28"/>
          <w:highlight w:val="none"/>
        </w:rPr>
        <w:t xml:space="preserve"> 其他活动区</w:t>
      </w:r>
    </w:p>
    <w:p>
      <w:pPr>
        <w:ind w:firstLine="480"/>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4.1.5</w:t>
      </w:r>
      <w:r>
        <w:rPr>
          <w:rFonts w:hint="default" w:ascii="Times New Roman" w:hAnsi="Times New Roman" w:cs="Times New Roman"/>
          <w:sz w:val="28"/>
          <w:szCs w:val="28"/>
          <w:highlight w:val="none"/>
        </w:rPr>
        <w:t>.1 废水排水系统</w:t>
      </w:r>
      <w:r>
        <w:rPr>
          <w:rFonts w:hint="default" w:ascii="Times New Roman" w:hAnsi="Times New Roman" w:cs="Times New Roman"/>
          <w:sz w:val="28"/>
          <w:szCs w:val="28"/>
          <w:highlight w:val="none"/>
          <w:lang w:val="en-US" w:eastAsia="zh-CN"/>
        </w:rPr>
        <w:t>及应急收集设施</w:t>
      </w:r>
    </w:p>
    <w:p>
      <w:pPr>
        <w:jc w:val="left"/>
        <w:rPr>
          <w:rFonts w:hint="default" w:ascii="Times New Roman" w:hAnsi="Times New Roman" w:eastAsia="宋体" w:cs="Times New Roman"/>
          <w:i w:val="0"/>
          <w:iCs w:val="0"/>
          <w:color w:val="000000"/>
          <w:sz w:val="28"/>
          <w:szCs w:val="28"/>
          <w:u w:val="none"/>
          <w:lang w:val="en-US" w:eastAsia="zh-CN"/>
        </w:rPr>
      </w:pPr>
      <w:r>
        <w:rPr>
          <w:rFonts w:hint="default" w:ascii="Times New Roman" w:hAnsi="Times New Roman" w:cs="Times New Roman"/>
          <w:sz w:val="28"/>
          <w:szCs w:val="28"/>
        </w:rPr>
        <w:t>本次工程废水主要是工艺废水、车间冲洗水及生活废水。焦亚及保险粉装置区废水经自建一套480m</w:t>
      </w:r>
      <w:r>
        <w:rPr>
          <w:rFonts w:hint="default" w:ascii="Times New Roman" w:hAnsi="Times New Roman" w:cs="Times New Roman"/>
          <w:sz w:val="28"/>
          <w:szCs w:val="28"/>
          <w:vertAlign w:val="superscript"/>
        </w:rPr>
        <w:t>3</w:t>
      </w:r>
      <w:r>
        <w:rPr>
          <w:rFonts w:hint="default" w:ascii="Times New Roman" w:hAnsi="Times New Roman" w:cs="Times New Roman"/>
          <w:sz w:val="28"/>
          <w:szCs w:val="28"/>
        </w:rPr>
        <w:t>/d污水处理装置处理后，进入安化终端污水处理厂（安化终端为煤化工水冶片区依托的园区污水处理厂）进一步处理，达标外排。</w:t>
      </w:r>
      <w:r>
        <w:rPr>
          <w:rFonts w:hint="eastAsia" w:ascii="Times New Roman" w:hAnsi="Times New Roman" w:cs="Times New Roman"/>
          <w:i w:val="0"/>
          <w:iCs w:val="0"/>
          <w:color w:val="000000"/>
          <w:sz w:val="28"/>
          <w:szCs w:val="28"/>
          <w:u w:val="none"/>
          <w:lang w:val="en-US" w:eastAsia="zh-CN"/>
        </w:rPr>
        <w:t>污水处理池</w:t>
      </w:r>
      <w:r>
        <w:rPr>
          <w:rFonts w:hint="default" w:ascii="Times New Roman" w:hAnsi="Times New Roman" w:eastAsia="宋体" w:cs="Times New Roman"/>
          <w:color w:val="auto"/>
          <w:sz w:val="28"/>
          <w:szCs w:val="28"/>
          <w:highlight w:val="none"/>
          <w:lang w:val="en-US" w:eastAsia="zh-CN"/>
        </w:rPr>
        <w:t>为钢筋混凝土材质，池底及池壁水泥地面硬化，水池内部设置防腐涂层</w:t>
      </w:r>
      <w:r>
        <w:rPr>
          <w:rFonts w:hint="default" w:ascii="Times New Roman" w:hAnsi="Times New Roman" w:eastAsia="宋体" w:cs="Times New Roman"/>
          <w:color w:val="auto"/>
          <w:sz w:val="28"/>
          <w:szCs w:val="28"/>
          <w:highlight w:val="none"/>
          <w:lang w:eastAsia="zh-CN"/>
        </w:rPr>
        <w:t>，职工定期</w:t>
      </w:r>
      <w:r>
        <w:rPr>
          <w:rFonts w:hint="default" w:ascii="Times New Roman" w:hAnsi="Times New Roman" w:eastAsia="宋体" w:cs="Times New Roman"/>
          <w:color w:val="auto"/>
          <w:sz w:val="28"/>
          <w:szCs w:val="28"/>
          <w:highlight w:val="none"/>
          <w:lang w:val="en-US" w:eastAsia="zh-CN"/>
        </w:rPr>
        <w:t>检查</w:t>
      </w:r>
      <w:r>
        <w:rPr>
          <w:rFonts w:hint="default" w:ascii="Times New Roman" w:hAnsi="Times New Roman" w:cs="Times New Roman"/>
          <w:color w:val="auto"/>
          <w:sz w:val="28"/>
          <w:szCs w:val="28"/>
          <w:highlight w:val="none"/>
          <w:lang w:val="en-US" w:eastAsia="zh-CN"/>
        </w:rPr>
        <w:t>。</w:t>
      </w:r>
    </w:p>
    <w:p>
      <w:pPr>
        <w:spacing w:line="360" w:lineRule="auto"/>
        <w:ind w:firstLine="0" w:firstLineChars="0"/>
        <w:jc w:val="center"/>
        <w:rPr>
          <w:rFonts w:hint="default" w:ascii="Times New Roman" w:hAnsi="Times New Roman" w:eastAsia="宋体" w:cs="Times New Roman"/>
          <w:b/>
          <w:bCs/>
          <w:sz w:val="24"/>
          <w:highlight w:val="none"/>
          <w:lang w:val="en-US" w:eastAsia="zh-CN"/>
        </w:rPr>
      </w:pPr>
      <w:r>
        <w:rPr>
          <w:rFonts w:hint="default" w:ascii="Times New Roman" w:hAnsi="Times New Roman" w:cs="Times New Roman"/>
          <w:b/>
          <w:bCs/>
          <w:sz w:val="24"/>
          <w:highlight w:val="none"/>
        </w:rPr>
        <w:t>表</w:t>
      </w:r>
      <w:r>
        <w:rPr>
          <w:rFonts w:hint="default" w:ascii="Times New Roman" w:hAnsi="Times New Roman" w:cs="Times New Roman"/>
          <w:b/>
          <w:bCs/>
          <w:sz w:val="24"/>
          <w:highlight w:val="none"/>
          <w:lang w:val="en-US" w:eastAsia="zh-CN"/>
        </w:rPr>
        <w:t>4</w:t>
      </w:r>
      <w:r>
        <w:rPr>
          <w:rFonts w:hint="eastAsia" w:ascii="Times New Roman" w:hAnsi="Times New Roman" w:cs="Times New Roman"/>
          <w:b/>
          <w:bCs/>
          <w:sz w:val="24"/>
          <w:highlight w:val="none"/>
          <w:lang w:val="en-US" w:eastAsia="zh-CN"/>
        </w:rPr>
        <w:t>-8</w:t>
      </w:r>
      <w:r>
        <w:rPr>
          <w:rFonts w:hint="default" w:ascii="Times New Roman" w:hAnsi="Times New Roman" w:cs="Times New Roman"/>
          <w:b/>
          <w:bCs/>
          <w:sz w:val="24"/>
          <w:highlight w:val="none"/>
          <w:lang w:val="en-US" w:eastAsia="zh-CN"/>
        </w:rPr>
        <w:t xml:space="preserve"> </w:t>
      </w:r>
      <w:r>
        <w:rPr>
          <w:rFonts w:hint="default" w:ascii="Times New Roman" w:hAnsi="Times New Roman" w:cs="Times New Roman"/>
          <w:b/>
          <w:bCs/>
          <w:sz w:val="24"/>
          <w:highlight w:val="none"/>
        </w:rPr>
        <w:t xml:space="preserve"> 废水排水系统及应急收集设施排查</w:t>
      </w:r>
      <w:r>
        <w:rPr>
          <w:rFonts w:hint="default" w:ascii="Times New Roman" w:hAnsi="Times New Roman" w:cs="Times New Roman"/>
          <w:b/>
          <w:bCs/>
          <w:sz w:val="24"/>
          <w:highlight w:val="none"/>
          <w:lang w:val="en-US" w:eastAsia="zh-CN"/>
        </w:rPr>
        <w:t>重点</w:t>
      </w:r>
    </w:p>
    <w:tbl>
      <w:tblPr>
        <w:tblStyle w:val="22"/>
        <w:tblW w:w="5273"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722"/>
        <w:gridCol w:w="1245"/>
        <w:gridCol w:w="713"/>
        <w:gridCol w:w="1012"/>
        <w:gridCol w:w="1571"/>
        <w:gridCol w:w="174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666"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类型</w:t>
            </w:r>
          </w:p>
        </w:tc>
        <w:tc>
          <w:tcPr>
            <w:tcW w:w="1310"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b w:val="0"/>
                <w:bCs/>
                <w:color w:val="auto"/>
                <w:sz w:val="21"/>
                <w:szCs w:val="21"/>
                <w:highlight w:val="none"/>
                <w:lang w:val="en-US" w:eastAsia="zh-CN"/>
              </w:rPr>
              <w:t>存在污染</w:t>
            </w:r>
          </w:p>
        </w:tc>
        <w:tc>
          <w:tcPr>
            <w:tcW w:w="942" w:type="pct"/>
            <w:gridSpan w:val="2"/>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治理措施</w:t>
            </w:r>
          </w:p>
        </w:tc>
        <w:tc>
          <w:tcPr>
            <w:tcW w:w="487"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日常管理</w:t>
            </w:r>
          </w:p>
        </w:tc>
        <w:tc>
          <w:tcPr>
            <w:tcW w:w="756"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造成土壤污染方式</w:t>
            </w:r>
          </w:p>
        </w:tc>
        <w:tc>
          <w:tcPr>
            <w:tcW w:w="836"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666" w:type="pct"/>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right="0" w:rightChars="0"/>
              <w:jc w:val="both"/>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污水处理站</w:t>
            </w:r>
          </w:p>
        </w:tc>
        <w:tc>
          <w:tcPr>
            <w:tcW w:w="1310" w:type="pct"/>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pH、COD、氨氮</w:t>
            </w:r>
            <w:r>
              <w:rPr>
                <w:rFonts w:hint="eastAsia" w:ascii="Times New Roman" w:hAnsi="Times New Roman" w:eastAsia="宋体"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BOD</w:t>
            </w:r>
            <w:r>
              <w:rPr>
                <w:rFonts w:hint="default" w:ascii="Times New Roman" w:hAnsi="Times New Roman" w:eastAsia="宋体" w:cs="Times New Roman"/>
                <w:sz w:val="21"/>
                <w:szCs w:val="21"/>
                <w:highlight w:val="none"/>
                <w:vertAlign w:val="subscript"/>
                <w:lang w:val="en-US" w:eastAsia="zh-CN"/>
              </w:rPr>
              <w:t>5</w:t>
            </w:r>
            <w:r>
              <w:rPr>
                <w:rFonts w:hint="default" w:ascii="Times New Roman" w:hAnsi="Times New Roman" w:eastAsia="宋体" w:cs="Times New Roman"/>
                <w:sz w:val="21"/>
                <w:szCs w:val="21"/>
                <w:highlight w:val="none"/>
                <w:vertAlign w:val="baseline"/>
                <w:lang w:val="en-US" w:eastAsia="zh-CN"/>
              </w:rPr>
              <w:t>、</w:t>
            </w:r>
            <w:r>
              <w:rPr>
                <w:rFonts w:hint="eastAsia" w:ascii="Times New Roman" w:hAnsi="Times New Roman" w:eastAsia="宋体" w:cs="Times New Roman"/>
                <w:sz w:val="21"/>
                <w:szCs w:val="21"/>
                <w:highlight w:val="none"/>
                <w:vertAlign w:val="baseline"/>
                <w:lang w:val="en-US" w:eastAsia="zh-CN"/>
              </w:rPr>
              <w:t>SS、SO</w:t>
            </w:r>
            <w:r>
              <w:rPr>
                <w:rFonts w:hint="eastAsia" w:ascii="Times New Roman" w:hAnsi="Times New Roman" w:eastAsia="宋体" w:cs="Times New Roman"/>
                <w:sz w:val="21"/>
                <w:szCs w:val="21"/>
                <w:highlight w:val="none"/>
                <w:vertAlign w:val="subscript"/>
                <w:lang w:val="en-US" w:eastAsia="zh-CN"/>
              </w:rPr>
              <w:t>2</w:t>
            </w:r>
            <w:r>
              <w:rPr>
                <w:rFonts w:hint="eastAsia" w:ascii="Times New Roman" w:hAnsi="Times New Roman" w:eastAsia="宋体" w:cs="Times New Roman"/>
                <w:sz w:val="21"/>
                <w:szCs w:val="21"/>
                <w:highlight w:val="none"/>
                <w:vertAlign w:val="baseline"/>
                <w:lang w:val="en-US" w:eastAsia="zh-CN"/>
              </w:rPr>
              <w:t>、硫化物等</w:t>
            </w:r>
          </w:p>
        </w:tc>
        <w:tc>
          <w:tcPr>
            <w:tcW w:w="942" w:type="pct"/>
            <w:gridSpan w:val="2"/>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cs="Times New Roman"/>
                <w:bCs/>
                <w:sz w:val="21"/>
                <w:szCs w:val="21"/>
              </w:rPr>
              <w:t>1座480m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/d污水处理装置，</w:t>
            </w:r>
            <w:r>
              <w:rPr>
                <w:rFonts w:hint="default" w:ascii="Times New Roman" w:hAnsi="Times New Roman" w:cs="Times New Roman"/>
                <w:color w:val="000000"/>
                <w:sz w:val="21"/>
                <w:szCs w:val="21"/>
              </w:rPr>
              <w:t>采用氧化+微电解+混凝沉淀+脱硫进行预处理后，再采用厌氧+缺氧+好氧+二沉+生物活性炭滤池处理工艺</w:t>
            </w:r>
          </w:p>
        </w:tc>
        <w:tc>
          <w:tcPr>
            <w:tcW w:w="487" w:type="pct"/>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定期检查维护</w:t>
            </w:r>
          </w:p>
        </w:tc>
        <w:tc>
          <w:tcPr>
            <w:tcW w:w="756" w:type="pct"/>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泄漏、溢流</w:t>
            </w:r>
          </w:p>
        </w:tc>
        <w:tc>
          <w:tcPr>
            <w:tcW w:w="836" w:type="pct"/>
            <w:tcBorders>
              <w:tl2br w:val="nil"/>
              <w:tr2bl w:val="nil"/>
            </w:tcBorders>
            <w:shd w:val="clear" w:color="auto" w:fill="auto"/>
            <w:vAlign w:val="center"/>
          </w:tcPr>
          <w:p>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管道、防渗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575" w:type="pct"/>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drawing>
                <wp:inline distT="0" distB="0" distL="114300" distR="114300">
                  <wp:extent cx="3242945" cy="2432050"/>
                  <wp:effectExtent l="0" t="0" r="3175" b="6350"/>
                  <wp:docPr id="103" name="图片 103" descr="C:/Users/Administrator/AppData/Local/Temp/picturecompress_20210930180217/output_41.jpgoutput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AppData/Local/Temp/picturecompress_20210930180217/output_41.jpgoutput_41"/>
                          <pic:cNvPicPr>
                            <a:picLocks noChangeAspect="1"/>
                          </pic:cNvPicPr>
                        </pic:nvPicPr>
                        <pic:blipFill>
                          <a:blip r:embed="rId61"/>
                          <a:stretch>
                            <a:fillRect/>
                          </a:stretch>
                        </pic:blipFill>
                        <pic:spPr>
                          <a:xfrm>
                            <a:off x="0" y="0"/>
                            <a:ext cx="3242945" cy="2432050"/>
                          </a:xfrm>
                          <a:prstGeom prst="rect">
                            <a:avLst/>
                          </a:prstGeom>
                        </pic:spPr>
                      </pic:pic>
                    </a:graphicData>
                  </a:graphic>
                </wp:inline>
              </w:drawing>
            </w:r>
          </w:p>
        </w:tc>
        <w:tc>
          <w:tcPr>
            <w:tcW w:w="2424" w:type="pct"/>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drawing>
                <wp:inline distT="0" distB="0" distL="114300" distR="114300">
                  <wp:extent cx="3057525" cy="2293620"/>
                  <wp:effectExtent l="0" t="0" r="5715" b="7620"/>
                  <wp:docPr id="104" name="图片 104" descr="C:/Users/Administrator/AppData/Local/Temp/picturecompress_20210930180217/output_42.jpgoutput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Administrator/AppData/Local/Temp/picturecompress_20210930180217/output_42.jpgoutput_42"/>
                          <pic:cNvPicPr>
                            <a:picLocks noChangeAspect="1"/>
                          </pic:cNvPicPr>
                        </pic:nvPicPr>
                        <pic:blipFill>
                          <a:blip r:embed="rId62"/>
                          <a:stretch>
                            <a:fillRect/>
                          </a:stretch>
                        </pic:blipFill>
                        <pic:spPr>
                          <a:xfrm>
                            <a:off x="0" y="0"/>
                            <a:ext cx="3057525" cy="229362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575" w:type="pct"/>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bidi="ar-SA"/>
              </w:rPr>
              <w:t>污水处理池周围</w:t>
            </w:r>
          </w:p>
        </w:tc>
        <w:tc>
          <w:tcPr>
            <w:tcW w:w="2424" w:type="pct"/>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bidi="ar-SA"/>
              </w:rPr>
              <w:t>污水处理池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575" w:type="pct"/>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drawing>
                <wp:inline distT="0" distB="0" distL="114300" distR="114300">
                  <wp:extent cx="3242945" cy="2432050"/>
                  <wp:effectExtent l="0" t="0" r="3175" b="6350"/>
                  <wp:docPr id="105" name="图片 105" descr="C:/Users/Administrator/AppData/Local/Temp/picturecompress_20210930180217/output_43.jpgoutput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Administrator/AppData/Local/Temp/picturecompress_20210930180217/output_43.jpgoutput_43"/>
                          <pic:cNvPicPr>
                            <a:picLocks noChangeAspect="1"/>
                          </pic:cNvPicPr>
                        </pic:nvPicPr>
                        <pic:blipFill>
                          <a:blip r:embed="rId63"/>
                          <a:stretch>
                            <a:fillRect/>
                          </a:stretch>
                        </pic:blipFill>
                        <pic:spPr>
                          <a:xfrm>
                            <a:off x="0" y="0"/>
                            <a:ext cx="3242945" cy="2432050"/>
                          </a:xfrm>
                          <a:prstGeom prst="rect">
                            <a:avLst/>
                          </a:prstGeom>
                        </pic:spPr>
                      </pic:pic>
                    </a:graphicData>
                  </a:graphic>
                </wp:inline>
              </w:drawing>
            </w:r>
          </w:p>
        </w:tc>
        <w:tc>
          <w:tcPr>
            <w:tcW w:w="2424" w:type="pct"/>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drawing>
                <wp:inline distT="0" distB="0" distL="114300" distR="114300">
                  <wp:extent cx="3057525" cy="2293620"/>
                  <wp:effectExtent l="0" t="0" r="5715" b="7620"/>
                  <wp:docPr id="106" name="图片 106" descr="C:/Users/Administrator/AppData/Local/Temp/picturecompress_20210930180217/output_44.jpgoutput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strator/AppData/Local/Temp/picturecompress_20210930180217/output_44.jpgoutput_44"/>
                          <pic:cNvPicPr>
                            <a:picLocks noChangeAspect="1"/>
                          </pic:cNvPicPr>
                        </pic:nvPicPr>
                        <pic:blipFill>
                          <a:blip r:embed="rId64"/>
                          <a:stretch>
                            <a:fillRect/>
                          </a:stretch>
                        </pic:blipFill>
                        <pic:spPr>
                          <a:xfrm>
                            <a:off x="0" y="0"/>
                            <a:ext cx="3057525" cy="229362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575" w:type="pct"/>
            <w:gridSpan w:val="3"/>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bidi="ar-SA"/>
              </w:rPr>
              <w:t>污水处理系统</w:t>
            </w:r>
          </w:p>
        </w:tc>
        <w:tc>
          <w:tcPr>
            <w:tcW w:w="2424" w:type="pct"/>
            <w:gridSpan w:val="4"/>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bidi="ar-SA"/>
              </w:rPr>
              <w:t>污水罐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000" w:type="pct"/>
            <w:gridSpan w:val="7"/>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sz w:val="21"/>
                <w:szCs w:val="21"/>
                <w:highlight w:val="none"/>
              </w:rPr>
              <w:t>图</w:t>
            </w:r>
            <w:r>
              <w:rPr>
                <w:rFonts w:hint="default" w:ascii="Times New Roman" w:hAnsi="Times New Roman" w:cs="Times New Roman"/>
                <w:sz w:val="21"/>
                <w:szCs w:val="21"/>
                <w:highlight w:val="none"/>
                <w:lang w:val="en-US" w:eastAsia="zh-CN"/>
              </w:rPr>
              <w:t>4</w:t>
            </w: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lang w:val="en-US" w:eastAsia="zh-CN"/>
              </w:rPr>
              <w:t xml:space="preserve">   污水处理站及初期雨水收集池</w:t>
            </w:r>
          </w:p>
        </w:tc>
      </w:tr>
    </w:tbl>
    <w:p>
      <w:pPr>
        <w:ind w:firstLine="48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4.1.5</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en-US" w:eastAsia="zh-CN"/>
        </w:rPr>
        <w:t>2</w:t>
      </w:r>
      <w:r>
        <w:rPr>
          <w:rFonts w:hint="default" w:ascii="Times New Roman" w:hAnsi="Times New Roman" w:cs="Times New Roman"/>
          <w:sz w:val="28"/>
          <w:szCs w:val="28"/>
          <w:highlight w:val="none"/>
        </w:rPr>
        <w:t xml:space="preserve"> 车间操作活动</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本项目生产设施为密闭生产，员工按照操作规程进行生产，制定有值班表及巡查表，</w:t>
      </w:r>
      <w:r>
        <w:rPr>
          <w:rFonts w:hint="default" w:ascii="Times New Roman" w:hAnsi="Times New Roman" w:cs="Times New Roman"/>
          <w:sz w:val="28"/>
          <w:szCs w:val="28"/>
          <w:highlight w:val="none"/>
        </w:rPr>
        <w:t>定期检查和维护</w:t>
      </w:r>
      <w:r>
        <w:rPr>
          <w:rFonts w:hint="default" w:ascii="Times New Roman" w:hAnsi="Times New Roman" w:cs="Times New Roman"/>
          <w:sz w:val="28"/>
          <w:szCs w:val="28"/>
          <w:highlight w:val="none"/>
          <w:lang w:eastAsia="zh-CN"/>
        </w:rPr>
        <w:t>，</w:t>
      </w:r>
      <w:r>
        <w:rPr>
          <w:rFonts w:hint="default" w:ascii="Times New Roman" w:hAnsi="Times New Roman" w:cs="Times New Roman"/>
          <w:color w:val="auto"/>
          <w:sz w:val="28"/>
          <w:szCs w:val="28"/>
          <w:highlight w:val="none"/>
          <w:lang w:val="en-US" w:eastAsia="zh-CN"/>
        </w:rPr>
        <w:t>保障生产活动安全进行。</w:t>
      </w:r>
    </w:p>
    <w:p>
      <w:pPr>
        <w:spacing w:line="360" w:lineRule="auto"/>
        <w:ind w:firstLine="0" w:firstLineChars="0"/>
        <w:jc w:val="center"/>
        <w:rPr>
          <w:rFonts w:hint="default" w:ascii="Times New Roman" w:hAnsi="Times New Roman" w:cs="Times New Roman"/>
          <w:b/>
          <w:bCs/>
          <w:sz w:val="24"/>
          <w:highlight w:val="none"/>
        </w:rPr>
      </w:pPr>
    </w:p>
    <w:p>
      <w:pPr>
        <w:spacing w:line="360" w:lineRule="auto"/>
        <w:ind w:firstLine="0" w:firstLineChars="0"/>
        <w:jc w:val="center"/>
        <w:rPr>
          <w:rFonts w:hint="default" w:ascii="Times New Roman" w:hAnsi="Times New Roman" w:eastAsia="宋体" w:cs="Times New Roman"/>
          <w:b/>
          <w:bCs/>
          <w:sz w:val="24"/>
          <w:highlight w:val="none"/>
          <w:lang w:val="en-US" w:eastAsia="zh-CN"/>
        </w:rPr>
      </w:pPr>
      <w:r>
        <w:rPr>
          <w:rFonts w:hint="default" w:ascii="Times New Roman" w:hAnsi="Times New Roman" w:cs="Times New Roman"/>
          <w:b/>
          <w:bCs/>
          <w:sz w:val="24"/>
          <w:highlight w:val="none"/>
        </w:rPr>
        <w:t>表</w:t>
      </w:r>
      <w:r>
        <w:rPr>
          <w:rFonts w:hint="default" w:ascii="Times New Roman" w:hAnsi="Times New Roman" w:cs="Times New Roman"/>
          <w:b/>
          <w:bCs/>
          <w:sz w:val="24"/>
          <w:highlight w:val="none"/>
          <w:lang w:val="en-US" w:eastAsia="zh-CN"/>
        </w:rPr>
        <w:t>4</w:t>
      </w:r>
      <w:r>
        <w:rPr>
          <w:rFonts w:hint="eastAsia" w:ascii="Times New Roman" w:hAnsi="Times New Roman" w:cs="Times New Roman"/>
          <w:b/>
          <w:bCs/>
          <w:sz w:val="24"/>
          <w:highlight w:val="none"/>
          <w:lang w:val="en-US" w:eastAsia="zh-CN"/>
        </w:rPr>
        <w:t>-9</w:t>
      </w:r>
      <w:r>
        <w:rPr>
          <w:rFonts w:hint="default" w:ascii="Times New Roman" w:hAnsi="Times New Roman" w:cs="Times New Roman"/>
          <w:b/>
          <w:bCs/>
          <w:sz w:val="24"/>
          <w:highlight w:val="none"/>
        </w:rPr>
        <w:t xml:space="preserve"> </w:t>
      </w:r>
      <w:r>
        <w:rPr>
          <w:rFonts w:hint="default" w:ascii="Times New Roman" w:hAnsi="Times New Roman" w:cs="Times New Roman"/>
          <w:b/>
          <w:bCs/>
          <w:sz w:val="24"/>
          <w:highlight w:val="none"/>
          <w:lang w:val="en-US" w:eastAsia="zh-CN"/>
        </w:rPr>
        <w:t xml:space="preserve"> </w:t>
      </w:r>
      <w:r>
        <w:rPr>
          <w:rFonts w:hint="default" w:ascii="Times New Roman" w:hAnsi="Times New Roman" w:cs="Times New Roman"/>
          <w:b/>
          <w:bCs/>
          <w:sz w:val="24"/>
          <w:highlight w:val="none"/>
        </w:rPr>
        <w:t xml:space="preserve"> 车间操作活动排查</w:t>
      </w:r>
      <w:r>
        <w:rPr>
          <w:rFonts w:hint="default" w:ascii="Times New Roman" w:hAnsi="Times New Roman" w:cs="Times New Roman"/>
          <w:b/>
          <w:bCs/>
          <w:sz w:val="24"/>
          <w:highlight w:val="none"/>
          <w:lang w:val="en-US" w:eastAsia="zh-CN"/>
        </w:rPr>
        <w:t>重点</w:t>
      </w:r>
    </w:p>
    <w:tbl>
      <w:tblPr>
        <w:tblStyle w:val="22"/>
        <w:tblW w:w="5011"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2492"/>
        <w:gridCol w:w="2745"/>
        <w:gridCol w:w="899"/>
        <w:gridCol w:w="1049"/>
        <w:gridCol w:w="155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73"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类型</w:t>
            </w:r>
          </w:p>
        </w:tc>
        <w:tc>
          <w:tcPr>
            <w:tcW w:w="1261"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b w:val="0"/>
                <w:bCs/>
                <w:color w:val="auto"/>
                <w:sz w:val="21"/>
                <w:szCs w:val="21"/>
                <w:highlight w:val="none"/>
                <w:lang w:val="en-US" w:eastAsia="zh-CN"/>
              </w:rPr>
              <w:t>存在污染</w:t>
            </w:r>
          </w:p>
        </w:tc>
        <w:tc>
          <w:tcPr>
            <w:tcW w:w="1389"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治理措施</w:t>
            </w:r>
          </w:p>
        </w:tc>
        <w:tc>
          <w:tcPr>
            <w:tcW w:w="455"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日常</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管理</w:t>
            </w:r>
          </w:p>
        </w:tc>
        <w:tc>
          <w:tcPr>
            <w:tcW w:w="531"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造成土壤污染方式</w:t>
            </w:r>
          </w:p>
        </w:tc>
        <w:tc>
          <w:tcPr>
            <w:tcW w:w="788"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lang w:val="en-US" w:eastAsia="zh-CN"/>
              </w:rPr>
              <w:t>重点关注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2" w:hRule="atLeast"/>
        </w:trPr>
        <w:tc>
          <w:tcPr>
            <w:tcW w:w="573"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bidi="ar-SA"/>
              </w:rPr>
              <w:t>车间操作活动</w:t>
            </w:r>
          </w:p>
        </w:tc>
        <w:tc>
          <w:tcPr>
            <w:tcW w:w="1261"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sz w:val="21"/>
                <w:szCs w:val="21"/>
                <w:lang w:val="en-US" w:eastAsia="zh-CN"/>
              </w:rPr>
              <w:t>一氧化碳、氢氧化钠、甲酸钠</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硫磺、二氧化硫、SO</w:t>
            </w:r>
            <w:r>
              <w:rPr>
                <w:rFonts w:hint="eastAsia" w:ascii="Times New Roman" w:hAnsi="Times New Roman" w:eastAsia="宋体" w:cs="Times New Roman"/>
                <w:sz w:val="21"/>
                <w:szCs w:val="21"/>
                <w:vertAlign w:val="subscript"/>
                <w:lang w:val="en-US" w:eastAsia="zh-CN"/>
              </w:rPr>
              <w:t>3</w:t>
            </w:r>
            <w:r>
              <w:rPr>
                <w:rFonts w:hint="eastAsia" w:ascii="Times New Roman" w:hAnsi="Times New Roman" w:eastAsia="宋体" w:cs="Times New Roman"/>
                <w:sz w:val="21"/>
                <w:szCs w:val="21"/>
                <w:lang w:val="en-US" w:eastAsia="zh-CN"/>
              </w:rPr>
              <w:t>、硫酸、焦亚硫酸钠、碳酸钠</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环氧乙烷、二氧化硫、甲醇、保险粉等</w:t>
            </w:r>
          </w:p>
        </w:tc>
        <w:tc>
          <w:tcPr>
            <w:tcW w:w="1389"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1、全密闭生产</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2</w:t>
            </w:r>
            <w:r>
              <w:rPr>
                <w:rFonts w:hint="default" w:ascii="Times New Roman" w:hAnsi="Times New Roman" w:cs="Times New Roman"/>
                <w:sz w:val="21"/>
                <w:szCs w:val="21"/>
                <w:highlight w:val="none"/>
                <w:vertAlign w:val="baseline"/>
                <w:lang w:val="en-US" w:eastAsia="zh-CN"/>
              </w:rPr>
              <w:t>、</w:t>
            </w:r>
            <w:r>
              <w:rPr>
                <w:rFonts w:hint="default" w:ascii="Times New Roman" w:hAnsi="Times New Roman" w:eastAsia="宋体" w:cs="Times New Roman"/>
                <w:sz w:val="21"/>
                <w:szCs w:val="21"/>
                <w:highlight w:val="none"/>
                <w:vertAlign w:val="baseline"/>
                <w:lang w:val="en-US" w:eastAsia="zh-CN"/>
              </w:rPr>
              <w:t>单层碳钢</w:t>
            </w:r>
            <w:r>
              <w:rPr>
                <w:rFonts w:hint="eastAsia" w:ascii="Times New Roman" w:hAnsi="Times New Roman" w:cs="Times New Roman"/>
                <w:sz w:val="21"/>
                <w:szCs w:val="21"/>
                <w:highlight w:val="none"/>
                <w:vertAlign w:val="baseline"/>
                <w:lang w:val="en-US" w:eastAsia="zh-CN"/>
              </w:rPr>
              <w:t>或不锈钢槽</w:t>
            </w:r>
            <w:r>
              <w:rPr>
                <w:rFonts w:hint="default" w:ascii="Times New Roman" w:hAnsi="Times New Roman" w:eastAsia="宋体" w:cs="Times New Roman"/>
                <w:sz w:val="21"/>
                <w:szCs w:val="21"/>
                <w:highlight w:val="none"/>
                <w:vertAlign w:val="baseline"/>
                <w:lang w:val="en-US" w:eastAsia="zh-CN"/>
              </w:rPr>
              <w:t>体</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3、设置有围堰</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4、车间活动有完善的日常监管措施</w:t>
            </w:r>
          </w:p>
        </w:tc>
        <w:tc>
          <w:tcPr>
            <w:tcW w:w="455"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定期检查维护</w:t>
            </w:r>
          </w:p>
        </w:tc>
        <w:tc>
          <w:tcPr>
            <w:tcW w:w="531" w:type="pct"/>
            <w:tcBorders>
              <w:tl2br w:val="nil"/>
              <w:tr2bl w:val="nil"/>
            </w:tcBorders>
            <w:shd w:val="clear" w:color="auto" w:fill="auto"/>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泄漏、溢流</w:t>
            </w:r>
          </w:p>
        </w:tc>
        <w:tc>
          <w:tcPr>
            <w:tcW w:w="78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进料口、出料口、法兰、排尽口</w:t>
            </w:r>
            <w:r>
              <w:rPr>
                <w:rFonts w:hint="default" w:ascii="Times New Roman" w:hAnsi="Times New Roman" w:cs="Times New Roman"/>
                <w:color w:val="auto"/>
                <w:kern w:val="2"/>
                <w:sz w:val="21"/>
                <w:szCs w:val="21"/>
                <w:highlight w:val="none"/>
                <w:lang w:eastAsia="zh-CN"/>
              </w:rPr>
              <w:t>、</w:t>
            </w:r>
            <w:r>
              <w:rPr>
                <w:rFonts w:hint="default" w:ascii="Times New Roman" w:hAnsi="Times New Roman" w:eastAsia="宋体" w:cs="Times New Roman"/>
                <w:kern w:val="2"/>
                <w:sz w:val="21"/>
                <w:szCs w:val="21"/>
                <w:highlight w:val="none"/>
                <w:vertAlign w:val="baseline"/>
                <w:lang w:val="en-US" w:eastAsia="zh-CN" w:bidi="ar-SA"/>
              </w:rPr>
              <w:t>围堰</w:t>
            </w:r>
            <w:r>
              <w:rPr>
                <w:rFonts w:hint="default" w:ascii="Times New Roman" w:hAnsi="Times New Roman" w:cs="Times New Roman"/>
                <w:kern w:val="2"/>
                <w:sz w:val="21"/>
                <w:szCs w:val="21"/>
                <w:highlight w:val="none"/>
                <w:vertAlign w:val="baseline"/>
                <w:lang w:val="en-US" w:eastAsia="zh-CN" w:bidi="ar-SA"/>
              </w:rPr>
              <w:t>、地面</w:t>
            </w:r>
          </w:p>
        </w:tc>
      </w:tr>
    </w:tbl>
    <w:p>
      <w:pPr>
        <w:ind w:firstLine="48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4.1.5</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en-US" w:eastAsia="zh-CN"/>
        </w:rPr>
        <w:t>3</w:t>
      </w:r>
      <w:r>
        <w:rPr>
          <w:rFonts w:hint="default" w:ascii="Times New Roman" w:hAnsi="Times New Roman" w:cs="Times New Roman"/>
          <w:sz w:val="28"/>
          <w:szCs w:val="28"/>
          <w:highlight w:val="none"/>
        </w:rPr>
        <w:t xml:space="preserve"> 分析化验室</w:t>
      </w:r>
    </w:p>
    <w:p>
      <w:pPr>
        <w:pStyle w:val="2"/>
        <w:rPr>
          <w:rFonts w:hint="default"/>
          <w:lang w:val="en-US" w:eastAsia="zh-CN"/>
        </w:rPr>
      </w:pPr>
      <w:r>
        <w:rPr>
          <w:rFonts w:hint="eastAsia"/>
          <w:lang w:val="en-US" w:eastAsia="zh-CN"/>
        </w:rPr>
        <w:t>本项目不涉及分析化验室。</w:t>
      </w:r>
    </w:p>
    <w:p>
      <w:pPr>
        <w:ind w:firstLine="48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lang w:val="en-US" w:eastAsia="zh-CN"/>
        </w:rPr>
        <w:t>4.1.5</w:t>
      </w:r>
      <w:r>
        <w:rPr>
          <w:rFonts w:hint="default" w:ascii="Times New Roman" w:hAnsi="Times New Roman" w:cs="Times New Roman"/>
          <w:sz w:val="28"/>
          <w:szCs w:val="28"/>
          <w:highlight w:val="none"/>
        </w:rPr>
        <w:t>.</w:t>
      </w:r>
      <w:r>
        <w:rPr>
          <w:rFonts w:hint="default" w:ascii="Times New Roman" w:hAnsi="Times New Roman" w:cs="Times New Roman"/>
          <w:sz w:val="28"/>
          <w:szCs w:val="28"/>
          <w:highlight w:val="none"/>
          <w:lang w:val="en-US" w:eastAsia="zh-CN"/>
        </w:rPr>
        <w:t>4</w:t>
      </w:r>
      <w:r>
        <w:rPr>
          <w:rFonts w:hint="default" w:ascii="Times New Roman" w:hAnsi="Times New Roman" w:cs="Times New Roman"/>
          <w:sz w:val="28"/>
          <w:szCs w:val="28"/>
          <w:highlight w:val="none"/>
        </w:rPr>
        <w:t xml:space="preserve"> 一般工业固体废物贮存场和危险废物贮存库</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本工程固废主要包括生产过程产生的</w:t>
      </w:r>
      <w:r>
        <w:rPr>
          <w:rFonts w:hint="eastAsia" w:ascii="Times New Roman" w:hAnsi="Times New Roman" w:cs="Times New Roman"/>
          <w:color w:val="auto"/>
          <w:sz w:val="28"/>
          <w:szCs w:val="28"/>
          <w:highlight w:val="none"/>
          <w:lang w:val="en-US" w:eastAsia="zh-CN"/>
        </w:rPr>
        <w:t>废催化剂和</w:t>
      </w:r>
      <w:r>
        <w:rPr>
          <w:rFonts w:hint="default" w:ascii="Times New Roman" w:hAnsi="Times New Roman" w:cs="Times New Roman"/>
          <w:color w:val="auto"/>
          <w:sz w:val="28"/>
          <w:szCs w:val="28"/>
          <w:highlight w:val="none"/>
          <w:lang w:val="en-US" w:eastAsia="zh-CN"/>
        </w:rPr>
        <w:t>工艺废液、污水处理站污泥及废旧包装袋。</w:t>
      </w:r>
      <w:r>
        <w:rPr>
          <w:rFonts w:hint="eastAsia" w:ascii="Times New Roman" w:hAnsi="Times New Roman" w:cs="Times New Roman"/>
          <w:color w:val="auto"/>
          <w:sz w:val="28"/>
          <w:szCs w:val="28"/>
          <w:highlight w:val="none"/>
          <w:lang w:val="en-US" w:eastAsia="zh-CN"/>
        </w:rPr>
        <w:t>①废催化剂：二氧化硫变换生成三氧化硫过程中使用的钒催化剂。此催化剂定期更换，由具有危废处理资质的单位回收；②</w:t>
      </w:r>
      <w:r>
        <w:rPr>
          <w:rFonts w:hint="default" w:ascii="Times New Roman" w:hAnsi="Times New Roman" w:cs="Times New Roman"/>
          <w:color w:val="auto"/>
          <w:sz w:val="28"/>
          <w:szCs w:val="28"/>
          <w:highlight w:val="none"/>
          <w:lang w:val="en-US" w:eastAsia="zh-CN"/>
        </w:rPr>
        <w:t>工艺废液</w:t>
      </w:r>
      <w:r>
        <w:rPr>
          <w:rFonts w:hint="eastAsia" w:ascii="Times New Roman" w:hAnsi="Times New Roman" w:cs="Times New Roman"/>
          <w:color w:val="auto"/>
          <w:sz w:val="28"/>
          <w:szCs w:val="28"/>
          <w:highlight w:val="none"/>
          <w:lang w:val="en-US" w:eastAsia="zh-CN"/>
        </w:rPr>
        <w:t>：保险粉</w:t>
      </w:r>
      <w:r>
        <w:rPr>
          <w:rFonts w:hint="default" w:ascii="Times New Roman" w:hAnsi="Times New Roman" w:cs="Times New Roman"/>
          <w:color w:val="auto"/>
          <w:sz w:val="28"/>
          <w:szCs w:val="28"/>
          <w:highlight w:val="none"/>
          <w:lang w:val="en-US" w:eastAsia="zh-CN"/>
        </w:rPr>
        <w:t>生产过程中，</w:t>
      </w:r>
      <w:r>
        <w:rPr>
          <w:rFonts w:hint="eastAsia" w:ascii="Times New Roman" w:hAnsi="Times New Roman" w:cs="Times New Roman"/>
          <w:color w:val="auto"/>
          <w:sz w:val="28"/>
          <w:szCs w:val="28"/>
          <w:highlight w:val="none"/>
          <w:lang w:val="en-US" w:eastAsia="zh-CN"/>
        </w:rPr>
        <w:t>残液蒸发后产生</w:t>
      </w:r>
      <w:r>
        <w:rPr>
          <w:rFonts w:hint="default" w:ascii="Times New Roman" w:hAnsi="Times New Roman" w:cs="Times New Roman"/>
          <w:color w:val="auto"/>
          <w:sz w:val="28"/>
          <w:szCs w:val="28"/>
          <w:highlight w:val="none"/>
          <w:lang w:val="en-US" w:eastAsia="zh-CN"/>
        </w:rPr>
        <w:t>废液。根据《国家危险废物名录》（HW</w:t>
      </w:r>
      <w:r>
        <w:rPr>
          <w:rFonts w:hint="eastAsia" w:ascii="Times New Roman" w:hAnsi="Times New Roman" w:cs="Times New Roman"/>
          <w:color w:val="auto"/>
          <w:sz w:val="28"/>
          <w:szCs w:val="28"/>
          <w:highlight w:val="none"/>
          <w:lang w:val="en-US" w:eastAsia="zh-CN"/>
        </w:rPr>
        <w:t>11</w:t>
      </w:r>
      <w:r>
        <w:rPr>
          <w:rFonts w:hint="default" w:ascii="Times New Roman" w:hAnsi="Times New Roman" w:cs="Times New Roman"/>
          <w:color w:val="auto"/>
          <w:sz w:val="28"/>
          <w:szCs w:val="28"/>
          <w:highlight w:val="none"/>
          <w:lang w:val="en-US" w:eastAsia="zh-CN"/>
        </w:rPr>
        <w:t>），此废液属于危险废物</w:t>
      </w:r>
      <w:r>
        <w:rPr>
          <w:rFonts w:hint="eastAsia" w:ascii="Times New Roman" w:hAnsi="Times New Roman" w:cs="Times New Roman"/>
          <w:color w:val="auto"/>
          <w:sz w:val="28"/>
          <w:szCs w:val="28"/>
          <w:highlight w:val="none"/>
          <w:lang w:val="en-US" w:eastAsia="zh-CN"/>
        </w:rPr>
        <w:t>。送具有危废处理资质的单位处置；</w:t>
      </w:r>
      <w:r>
        <w:rPr>
          <w:rFonts w:hint="default" w:ascii="Times New Roman" w:hAnsi="Times New Roman" w:cs="Times New Roman"/>
          <w:color w:val="auto"/>
          <w:sz w:val="28"/>
          <w:szCs w:val="28"/>
          <w:highlight w:val="none"/>
          <w:lang w:val="en-US" w:eastAsia="zh-CN"/>
        </w:rPr>
        <w:t>③污水处理站污泥</w:t>
      </w:r>
      <w:r>
        <w:rPr>
          <w:rFonts w:hint="eastAsia"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主要是污水处理过程产生的污泥，</w:t>
      </w:r>
      <w:r>
        <w:rPr>
          <w:rFonts w:hint="eastAsia" w:ascii="Times New Roman" w:hAnsi="Times New Roman" w:cs="Times New Roman"/>
          <w:color w:val="auto"/>
          <w:sz w:val="28"/>
          <w:szCs w:val="28"/>
          <w:highlight w:val="none"/>
          <w:lang w:val="en-US" w:eastAsia="zh-CN"/>
        </w:rPr>
        <w:t>外运填埋；④</w:t>
      </w:r>
      <w:r>
        <w:rPr>
          <w:rFonts w:hint="default" w:ascii="Times New Roman" w:hAnsi="Times New Roman" w:cs="Times New Roman"/>
          <w:color w:val="auto"/>
          <w:sz w:val="28"/>
          <w:szCs w:val="28"/>
          <w:highlight w:val="none"/>
          <w:lang w:val="en-US" w:eastAsia="zh-CN"/>
        </w:rPr>
        <w:t>废旧包装袋</w:t>
      </w:r>
      <w:r>
        <w:rPr>
          <w:rFonts w:hint="eastAsia"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主要是进厂原料的包装袋，产生量约3t/a，由供货单位回收处理。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cs="Times New Roman"/>
          <w:lang w:val="en-US" w:eastAsia="zh-CN"/>
        </w:rPr>
      </w:pPr>
      <w:r>
        <w:rPr>
          <w:rFonts w:hint="default" w:ascii="Times New Roman" w:hAnsi="Times New Roman" w:cs="Times New Roman"/>
          <w:color w:val="auto"/>
          <w:sz w:val="28"/>
          <w:szCs w:val="28"/>
          <w:highlight w:val="none"/>
          <w:lang w:val="en-US" w:eastAsia="zh-CN"/>
        </w:rPr>
        <w:t>项目</w:t>
      </w:r>
      <w:r>
        <w:rPr>
          <w:rFonts w:hint="eastAsia" w:ascii="Times New Roman" w:hAnsi="Times New Roman" w:cs="Times New Roman"/>
          <w:color w:val="auto"/>
          <w:sz w:val="28"/>
          <w:szCs w:val="28"/>
          <w:highlight w:val="none"/>
          <w:lang w:val="en-US" w:eastAsia="zh-CN"/>
        </w:rPr>
        <w:t>目前处于停产状态，暂不产生危废，危废储存间已拆除，待恢复生产之后，重新构建危废储存间</w:t>
      </w:r>
      <w:r>
        <w:rPr>
          <w:rFonts w:hint="default" w:ascii="Times New Roman" w:hAnsi="Times New Roman" w:cs="Times New Roman"/>
          <w:color w:val="auto"/>
          <w:sz w:val="28"/>
          <w:szCs w:val="28"/>
          <w:highlight w:val="none"/>
          <w:lang w:val="en-US" w:eastAsia="zh-CN"/>
        </w:rPr>
        <w:t>。</w:t>
      </w:r>
    </w:p>
    <w:p>
      <w:pPr>
        <w:spacing w:line="360" w:lineRule="auto"/>
        <w:ind w:firstLine="0" w:firstLineChars="0"/>
        <w:jc w:val="center"/>
        <w:rPr>
          <w:rFonts w:hint="default" w:ascii="Times New Roman" w:hAnsi="Times New Roman" w:eastAsia="宋体" w:cs="Times New Roman"/>
          <w:b/>
          <w:bCs/>
          <w:sz w:val="24"/>
          <w:highlight w:val="none"/>
          <w:lang w:val="en-US" w:eastAsia="zh-CN"/>
        </w:rPr>
      </w:pPr>
      <w:r>
        <w:rPr>
          <w:rFonts w:hint="default" w:ascii="Times New Roman" w:hAnsi="Times New Roman" w:cs="Times New Roman"/>
          <w:b/>
          <w:bCs/>
          <w:sz w:val="24"/>
          <w:highlight w:val="none"/>
        </w:rPr>
        <w:t>表</w:t>
      </w:r>
      <w:r>
        <w:rPr>
          <w:rFonts w:hint="default" w:ascii="Times New Roman" w:hAnsi="Times New Roman" w:cs="Times New Roman"/>
          <w:b/>
          <w:bCs/>
          <w:sz w:val="24"/>
          <w:highlight w:val="none"/>
          <w:lang w:val="en-US" w:eastAsia="zh-CN"/>
        </w:rPr>
        <w:t>4</w:t>
      </w:r>
      <w:r>
        <w:rPr>
          <w:rFonts w:hint="eastAsia" w:ascii="Times New Roman" w:hAnsi="Times New Roman" w:cs="Times New Roman"/>
          <w:b/>
          <w:bCs/>
          <w:sz w:val="24"/>
          <w:highlight w:val="none"/>
          <w:lang w:val="en-US" w:eastAsia="zh-CN"/>
        </w:rPr>
        <w:t>-10</w:t>
      </w:r>
      <w:r>
        <w:rPr>
          <w:rFonts w:hint="default" w:ascii="Times New Roman" w:hAnsi="Times New Roman" w:cs="Times New Roman"/>
          <w:b/>
          <w:bCs/>
          <w:sz w:val="24"/>
          <w:highlight w:val="none"/>
        </w:rPr>
        <w:t xml:space="preserve"> </w:t>
      </w:r>
      <w:r>
        <w:rPr>
          <w:rFonts w:hint="default" w:ascii="Times New Roman" w:hAnsi="Times New Roman" w:cs="Times New Roman"/>
          <w:b/>
          <w:bCs/>
          <w:sz w:val="24"/>
          <w:highlight w:val="none"/>
          <w:lang w:val="en-US" w:eastAsia="zh-CN"/>
        </w:rPr>
        <w:t xml:space="preserve"> </w:t>
      </w:r>
      <w:r>
        <w:rPr>
          <w:rFonts w:hint="default" w:ascii="Times New Roman" w:hAnsi="Times New Roman" w:cs="Times New Roman"/>
          <w:b/>
          <w:bCs/>
          <w:sz w:val="24"/>
          <w:highlight w:val="none"/>
        </w:rPr>
        <w:t xml:space="preserve"> 一般工业固体废物贮存场和危险废物贮存库排查</w:t>
      </w:r>
      <w:r>
        <w:rPr>
          <w:rFonts w:hint="default" w:ascii="Times New Roman" w:hAnsi="Times New Roman" w:cs="Times New Roman"/>
          <w:b/>
          <w:bCs/>
          <w:sz w:val="24"/>
          <w:highlight w:val="none"/>
          <w:lang w:val="en-US" w:eastAsia="zh-CN"/>
        </w:rPr>
        <w:t>重点</w:t>
      </w:r>
    </w:p>
    <w:tbl>
      <w:tblPr>
        <w:tblStyle w:val="21"/>
        <w:tblW w:w="4955"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57" w:type="dxa"/>
          <w:left w:w="57" w:type="dxa"/>
          <w:bottom w:w="57" w:type="dxa"/>
          <w:right w:w="57" w:type="dxa"/>
        </w:tblCellMar>
      </w:tblPr>
      <w:tblGrid>
        <w:gridCol w:w="1279"/>
        <w:gridCol w:w="880"/>
        <w:gridCol w:w="414"/>
        <w:gridCol w:w="2442"/>
        <w:gridCol w:w="2436"/>
        <w:gridCol w:w="221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567" w:hRule="atLeast"/>
        </w:trPr>
        <w:tc>
          <w:tcPr>
            <w:tcW w:w="2573"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ascii="宋体" w:hAnsi="宋体"/>
                <w:color w:val="000000"/>
                <w:sz w:val="21"/>
                <w:szCs w:val="21"/>
              </w:rPr>
              <w:t>排放源</w:t>
            </w:r>
          </w:p>
        </w:tc>
        <w:tc>
          <w:tcPr>
            <w:tcW w:w="24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ascii="宋体" w:hAnsi="宋体"/>
                <w:color w:val="000000"/>
                <w:sz w:val="21"/>
                <w:szCs w:val="21"/>
              </w:rPr>
              <w:t>主要成分</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ascii="宋体" w:hAnsi="宋体"/>
                <w:color w:val="000000"/>
                <w:sz w:val="21"/>
                <w:szCs w:val="21"/>
              </w:rPr>
              <w:t>固废性质</w:t>
            </w:r>
          </w:p>
        </w:tc>
        <w:tc>
          <w:tcPr>
            <w:tcW w:w="22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color w:val="000000"/>
                <w:sz w:val="21"/>
                <w:szCs w:val="21"/>
              </w:rPr>
            </w:pPr>
            <w:r>
              <w:rPr>
                <w:rFonts w:ascii="宋体" w:hAnsi="宋体"/>
                <w:color w:val="000000"/>
                <w:sz w:val="21"/>
                <w:szCs w:val="21"/>
              </w:rPr>
              <w:t>处理处置</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ascii="宋体" w:hAnsi="宋体"/>
                <w:color w:val="000000"/>
                <w:sz w:val="21"/>
                <w:szCs w:val="21"/>
              </w:rPr>
              <w:t>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567" w:hRule="atLeast"/>
        </w:trPr>
        <w:tc>
          <w:tcPr>
            <w:tcW w:w="1279" w:type="dxa"/>
            <w:tcBorders>
              <w:tl2br w:val="nil"/>
              <w:tr2bl w:val="nil"/>
            </w:tcBorders>
            <w:noWrap w:val="0"/>
            <w:vAlign w:val="center"/>
          </w:tcPr>
          <w:p>
            <w:pPr>
              <w:keepNext w:val="0"/>
              <w:keepLines w:val="0"/>
              <w:pageBreakBefore w:val="0"/>
              <w:widowControl/>
              <w:tabs>
                <w:tab w:val="left" w:pos="1680"/>
                <w:tab w:val="left" w:pos="3465"/>
              </w:tabs>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cs="Times New Roman"/>
                <w:snapToGrid w:val="0"/>
                <w:color w:val="000000"/>
                <w:sz w:val="21"/>
                <w:szCs w:val="21"/>
              </w:rPr>
              <w:t>液体二氧化硫生产装置</w:t>
            </w:r>
          </w:p>
        </w:tc>
        <w:tc>
          <w:tcPr>
            <w:tcW w:w="880" w:type="dxa"/>
            <w:tcBorders>
              <w:tl2br w:val="nil"/>
              <w:tr2bl w:val="nil"/>
            </w:tcBorders>
            <w:noWrap w:val="0"/>
            <w:vAlign w:val="center"/>
          </w:tcPr>
          <w:p>
            <w:pPr>
              <w:keepNext w:val="0"/>
              <w:keepLines w:val="0"/>
              <w:pageBreakBefore w:val="0"/>
              <w:widowControl/>
              <w:tabs>
                <w:tab w:val="left" w:pos="1680"/>
                <w:tab w:val="left" w:pos="3465"/>
              </w:tabs>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cs="Times New Roman"/>
                <w:snapToGrid w:val="0"/>
                <w:color w:val="000000"/>
                <w:sz w:val="21"/>
                <w:szCs w:val="21"/>
              </w:rPr>
              <w:t>SO</w:t>
            </w:r>
            <w:r>
              <w:rPr>
                <w:rFonts w:hint="default" w:ascii="Times New Roman" w:hAnsi="Times New Roman" w:cs="Times New Roman"/>
                <w:snapToGrid w:val="0"/>
                <w:color w:val="000000"/>
                <w:sz w:val="21"/>
                <w:szCs w:val="21"/>
                <w:vertAlign w:val="subscript"/>
              </w:rPr>
              <w:t>3</w:t>
            </w:r>
            <w:r>
              <w:rPr>
                <w:rFonts w:hint="default" w:ascii="Times New Roman" w:hAnsi="Times New Roman" w:cs="Times New Roman"/>
                <w:snapToGrid w:val="0"/>
                <w:color w:val="000000"/>
                <w:sz w:val="21"/>
                <w:szCs w:val="21"/>
              </w:rPr>
              <w:t>发生</w:t>
            </w:r>
          </w:p>
        </w:tc>
        <w:tc>
          <w:tcPr>
            <w:tcW w:w="4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rPr>
              <w:t>S1</w:t>
            </w:r>
          </w:p>
        </w:tc>
        <w:tc>
          <w:tcPr>
            <w:tcW w:w="24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heme="minorBidi"/>
                <w:color w:val="FF0000"/>
                <w:sz w:val="21"/>
                <w:szCs w:val="21"/>
                <w:lang w:val="en-US" w:eastAsia="zh-CN" w:bidi="ar-SA"/>
              </w:rPr>
            </w:pPr>
            <w:r>
              <w:rPr>
                <w:rFonts w:ascii="宋体" w:hAnsi="宋体"/>
                <w:snapToGrid w:val="0"/>
                <w:color w:val="000000"/>
                <w:sz w:val="21"/>
                <w:szCs w:val="21"/>
              </w:rPr>
              <w:t>五氧化二钒</w:t>
            </w:r>
            <w:r>
              <w:rPr>
                <w:rFonts w:hint="eastAsia" w:ascii="宋体" w:hAnsi="宋体"/>
                <w:snapToGrid w:val="0"/>
                <w:color w:val="000000"/>
                <w:sz w:val="21"/>
                <w:szCs w:val="21"/>
              </w:rPr>
              <w:t>等</w:t>
            </w:r>
          </w:p>
        </w:tc>
        <w:tc>
          <w:tcPr>
            <w:tcW w:w="243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heme="minorBidi"/>
                <w:sz w:val="21"/>
                <w:szCs w:val="21"/>
                <w:lang w:val="en-US" w:eastAsia="zh-CN" w:bidi="ar-SA"/>
              </w:rPr>
            </w:pPr>
            <w:r>
              <w:rPr>
                <w:rFonts w:ascii="宋体" w:hAnsi="宋体"/>
                <w:sz w:val="21"/>
                <w:szCs w:val="21"/>
              </w:rPr>
              <w:t>危险固废HW</w:t>
            </w:r>
            <w:r>
              <w:rPr>
                <w:rFonts w:hint="eastAsia" w:ascii="宋体" w:hAnsi="宋体"/>
                <w:sz w:val="21"/>
                <w:szCs w:val="21"/>
              </w:rPr>
              <w:t>49</w:t>
            </w:r>
          </w:p>
        </w:tc>
        <w:tc>
          <w:tcPr>
            <w:tcW w:w="2212"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bidi="ar-SA"/>
              </w:rPr>
            </w:pPr>
            <w:r>
              <w:rPr>
                <w:rFonts w:hint="eastAsia" w:ascii="宋体" w:hAnsi="宋体"/>
                <w:snapToGrid w:val="0"/>
                <w:color w:val="000000"/>
                <w:sz w:val="21"/>
                <w:szCs w:val="21"/>
              </w:rPr>
              <w:t>送具有危废处理资质的单位处置</w:t>
            </w:r>
            <w:r>
              <w:rPr>
                <w:rFonts w:hint="eastAsia"/>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567" w:hRule="atLeast"/>
        </w:trPr>
        <w:tc>
          <w:tcPr>
            <w:tcW w:w="1279" w:type="dxa"/>
            <w:tcBorders>
              <w:tl2br w:val="nil"/>
              <w:tr2bl w:val="nil"/>
            </w:tcBorders>
            <w:noWrap w:val="0"/>
            <w:vAlign w:val="center"/>
          </w:tcPr>
          <w:p>
            <w:pPr>
              <w:keepNext w:val="0"/>
              <w:keepLines w:val="0"/>
              <w:pageBreakBefore w:val="0"/>
              <w:widowControl/>
              <w:tabs>
                <w:tab w:val="left" w:pos="1680"/>
                <w:tab w:val="left" w:pos="3465"/>
              </w:tabs>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color w:val="FF0000"/>
                <w:sz w:val="21"/>
                <w:szCs w:val="21"/>
                <w:lang w:val="en-US" w:eastAsia="zh-CN" w:bidi="ar-SA"/>
              </w:rPr>
            </w:pPr>
            <w:r>
              <w:rPr>
                <w:rFonts w:hint="default" w:ascii="Times New Roman" w:hAnsi="Times New Roman" w:cs="Times New Roman"/>
                <w:snapToGrid w:val="0"/>
                <w:color w:val="000000"/>
                <w:sz w:val="21"/>
                <w:szCs w:val="21"/>
              </w:rPr>
              <w:t>焦亚硫酸钠生产装置</w:t>
            </w:r>
          </w:p>
        </w:tc>
        <w:tc>
          <w:tcPr>
            <w:tcW w:w="880" w:type="dxa"/>
            <w:tcBorders>
              <w:tl2br w:val="nil"/>
              <w:tr2bl w:val="nil"/>
            </w:tcBorders>
            <w:noWrap w:val="0"/>
            <w:vAlign w:val="center"/>
          </w:tcPr>
          <w:p>
            <w:pPr>
              <w:keepNext w:val="0"/>
              <w:keepLines w:val="0"/>
              <w:pageBreakBefore w:val="0"/>
              <w:widowControl/>
              <w:tabs>
                <w:tab w:val="left" w:pos="1680"/>
                <w:tab w:val="left" w:pos="3465"/>
              </w:tabs>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cs="Times New Roman"/>
                <w:snapToGrid w:val="0"/>
                <w:color w:val="000000"/>
                <w:sz w:val="21"/>
                <w:szCs w:val="21"/>
              </w:rPr>
              <w:t>SO</w:t>
            </w:r>
            <w:r>
              <w:rPr>
                <w:rFonts w:hint="default" w:ascii="Times New Roman" w:hAnsi="Times New Roman" w:cs="Times New Roman"/>
                <w:snapToGrid w:val="0"/>
                <w:color w:val="000000"/>
                <w:sz w:val="21"/>
                <w:szCs w:val="21"/>
                <w:vertAlign w:val="subscript"/>
              </w:rPr>
              <w:t>3</w:t>
            </w:r>
            <w:r>
              <w:rPr>
                <w:rFonts w:hint="default" w:ascii="Times New Roman" w:hAnsi="Times New Roman" w:cs="Times New Roman"/>
                <w:snapToGrid w:val="0"/>
                <w:color w:val="000000"/>
                <w:sz w:val="21"/>
                <w:szCs w:val="21"/>
              </w:rPr>
              <w:t>发生</w:t>
            </w:r>
          </w:p>
        </w:tc>
        <w:tc>
          <w:tcPr>
            <w:tcW w:w="4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sz w:val="21"/>
                <w:szCs w:val="21"/>
                <w:lang w:val="en-US" w:eastAsia="zh-CN" w:bidi="ar-SA"/>
              </w:rPr>
            </w:pPr>
            <w:r>
              <w:rPr>
                <w:rFonts w:hint="default" w:ascii="Times New Roman" w:hAnsi="Times New Roman" w:cs="Times New Roman"/>
                <w:sz w:val="21"/>
                <w:szCs w:val="21"/>
              </w:rPr>
              <w:t>S2</w:t>
            </w:r>
          </w:p>
        </w:tc>
        <w:tc>
          <w:tcPr>
            <w:tcW w:w="24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heme="minorBidi"/>
                <w:color w:val="FF0000"/>
                <w:sz w:val="21"/>
                <w:szCs w:val="21"/>
                <w:lang w:val="en-US" w:eastAsia="zh-CN" w:bidi="ar-SA"/>
              </w:rPr>
            </w:pPr>
            <w:r>
              <w:rPr>
                <w:rFonts w:ascii="宋体" w:hAnsi="宋体"/>
                <w:snapToGrid w:val="0"/>
                <w:color w:val="000000"/>
                <w:sz w:val="21"/>
                <w:szCs w:val="21"/>
              </w:rPr>
              <w:t>五氧化二钒</w:t>
            </w:r>
            <w:r>
              <w:rPr>
                <w:rFonts w:hint="eastAsia" w:ascii="宋体" w:hAnsi="宋体"/>
                <w:snapToGrid w:val="0"/>
                <w:color w:val="000000"/>
                <w:sz w:val="21"/>
                <w:szCs w:val="21"/>
              </w:rPr>
              <w:t>等</w:t>
            </w:r>
          </w:p>
        </w:tc>
        <w:tc>
          <w:tcPr>
            <w:tcW w:w="2437" w:type="dxa"/>
            <w:vMerge w:val="continue"/>
            <w:tcBorders>
              <w:tl2br w:val="nil"/>
              <w:tr2bl w:val="nil"/>
            </w:tcBorders>
            <w:noWrap w:val="0"/>
            <w:vAlign w:val="center"/>
          </w:tcPr>
          <w:p>
            <w:pPr>
              <w:pStyle w:val="9"/>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000000"/>
                <w:sz w:val="21"/>
                <w:szCs w:val="21"/>
                <w:lang w:eastAsia="zh-CN"/>
              </w:rPr>
            </w:pPr>
          </w:p>
        </w:tc>
        <w:tc>
          <w:tcPr>
            <w:tcW w:w="2212"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567" w:hRule="atLeast"/>
        </w:trPr>
        <w:tc>
          <w:tcPr>
            <w:tcW w:w="1279" w:type="dxa"/>
            <w:tcBorders>
              <w:tl2br w:val="nil"/>
              <w:tr2bl w:val="nil"/>
            </w:tcBorders>
            <w:noWrap w:val="0"/>
            <w:vAlign w:val="center"/>
          </w:tcPr>
          <w:p>
            <w:pPr>
              <w:keepNext w:val="0"/>
              <w:keepLines w:val="0"/>
              <w:pageBreakBefore w:val="0"/>
              <w:widowControl/>
              <w:tabs>
                <w:tab w:val="left" w:pos="1680"/>
                <w:tab w:val="left" w:pos="3465"/>
              </w:tabs>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cs="Times New Roman"/>
                <w:snapToGrid w:val="0"/>
                <w:color w:val="000000"/>
                <w:sz w:val="21"/>
                <w:szCs w:val="21"/>
              </w:rPr>
              <w:t>保险粉生产装置</w:t>
            </w:r>
          </w:p>
        </w:tc>
        <w:tc>
          <w:tcPr>
            <w:tcW w:w="880" w:type="dxa"/>
            <w:tcBorders>
              <w:tl2br w:val="nil"/>
              <w:tr2bl w:val="nil"/>
            </w:tcBorders>
            <w:noWrap w:val="0"/>
            <w:vAlign w:val="center"/>
          </w:tcPr>
          <w:p>
            <w:pPr>
              <w:keepNext w:val="0"/>
              <w:keepLines w:val="0"/>
              <w:pageBreakBefore w:val="0"/>
              <w:widowControl/>
              <w:tabs>
                <w:tab w:val="left" w:pos="1680"/>
                <w:tab w:val="left" w:pos="3465"/>
              </w:tabs>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snapToGrid w:val="0"/>
                <w:color w:val="000000"/>
                <w:sz w:val="21"/>
                <w:szCs w:val="21"/>
              </w:rPr>
            </w:pPr>
            <w:r>
              <w:rPr>
                <w:rFonts w:hint="default" w:ascii="Times New Roman" w:hAnsi="Times New Roman" w:cs="Times New Roman"/>
                <w:snapToGrid w:val="0"/>
                <w:color w:val="000000"/>
                <w:sz w:val="21"/>
                <w:szCs w:val="21"/>
              </w:rPr>
              <w:t>蒸发</w:t>
            </w:r>
          </w:p>
          <w:p>
            <w:pPr>
              <w:keepNext w:val="0"/>
              <w:keepLines w:val="0"/>
              <w:pageBreakBefore w:val="0"/>
              <w:widowControl/>
              <w:tabs>
                <w:tab w:val="left" w:pos="1680"/>
                <w:tab w:val="left" w:pos="3465"/>
              </w:tabs>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cs="Times New Roman"/>
                <w:snapToGrid w:val="0"/>
                <w:color w:val="000000"/>
                <w:sz w:val="21"/>
                <w:szCs w:val="21"/>
              </w:rPr>
              <w:t>残液</w:t>
            </w:r>
          </w:p>
        </w:tc>
        <w:tc>
          <w:tcPr>
            <w:tcW w:w="4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sz w:val="21"/>
                <w:szCs w:val="21"/>
                <w:lang w:val="en-US" w:eastAsia="zh-CN" w:bidi="ar-SA"/>
              </w:rPr>
            </w:pPr>
            <w:r>
              <w:rPr>
                <w:rFonts w:hint="default" w:ascii="Times New Roman" w:hAnsi="Times New Roman" w:cs="Times New Roman"/>
                <w:sz w:val="21"/>
                <w:szCs w:val="21"/>
              </w:rPr>
              <w:t>S3</w:t>
            </w:r>
          </w:p>
        </w:tc>
        <w:tc>
          <w:tcPr>
            <w:tcW w:w="24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heme="minorBidi"/>
                <w:color w:val="FF0000"/>
                <w:sz w:val="21"/>
                <w:szCs w:val="21"/>
                <w:lang w:val="en-US" w:eastAsia="zh-CN" w:bidi="ar-SA"/>
              </w:rPr>
            </w:pPr>
            <w:r>
              <w:rPr>
                <w:rFonts w:hint="eastAsia" w:ascii="宋体" w:hAnsi="宋体" w:cs="黑体"/>
                <w:snapToGrid w:val="0"/>
                <w:color w:val="000000"/>
                <w:kern w:val="0"/>
                <w:sz w:val="21"/>
                <w:szCs w:val="21"/>
                <w:lang w:val="zh-CN"/>
              </w:rPr>
              <w:t>甲醇、乙二醇、乙二醇甲醚、甲酸钠、亚硫酸氢钠、硫代硫酸钠、邦特盐、羟乙基磺酸钠、亚硫酸钠、硫酸钠、甲硫醇钠、巯基乙醇、硫化钠、焦亚硫酸钠、保险粉、水</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heme="minorBidi"/>
                <w:color w:val="FF0000"/>
                <w:sz w:val="21"/>
                <w:szCs w:val="21"/>
                <w:lang w:val="en-US" w:eastAsia="zh-CN" w:bidi="ar-SA"/>
              </w:rPr>
            </w:pPr>
            <w:r>
              <w:rPr>
                <w:rFonts w:hint="eastAsia" w:ascii="宋体" w:hAnsi="宋体" w:cs="黑体"/>
                <w:snapToGrid w:val="0"/>
                <w:color w:val="000000"/>
                <w:kern w:val="0"/>
                <w:sz w:val="21"/>
                <w:szCs w:val="21"/>
                <w:lang w:val="zh-CN"/>
              </w:rPr>
              <w:t>危险固废HW11</w:t>
            </w:r>
          </w:p>
        </w:tc>
        <w:tc>
          <w:tcPr>
            <w:tcW w:w="2212"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431" w:hRule="atLeast"/>
        </w:trPr>
        <w:tc>
          <w:tcPr>
            <w:tcW w:w="5016"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宋体" w:hAnsi="宋体" w:eastAsia="宋体" w:cstheme="minorBidi"/>
                <w:color w:val="000000"/>
                <w:sz w:val="21"/>
                <w:szCs w:val="21"/>
                <w:lang w:val="en-US" w:eastAsia="zh-CN" w:bidi="ar-SA"/>
              </w:rPr>
            </w:pPr>
            <w:r>
              <w:rPr>
                <w:rFonts w:ascii="宋体" w:hAnsi="宋体"/>
                <w:color w:val="000000"/>
                <w:sz w:val="21"/>
                <w:szCs w:val="21"/>
              </w:rPr>
              <w:t>污水处理站污泥</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宋体" w:hAnsi="宋体" w:eastAsia="宋体" w:cstheme="minorBidi"/>
                <w:color w:val="000000"/>
                <w:sz w:val="21"/>
                <w:szCs w:val="21"/>
                <w:lang w:val="en-US" w:eastAsia="zh-CN" w:bidi="ar-SA"/>
              </w:rPr>
            </w:pPr>
            <w:r>
              <w:rPr>
                <w:rFonts w:hint="eastAsia" w:ascii="宋体" w:hAnsi="宋体"/>
                <w:color w:val="000000"/>
                <w:sz w:val="21"/>
                <w:szCs w:val="21"/>
              </w:rPr>
              <w:t>一般固废</w:t>
            </w:r>
          </w:p>
        </w:tc>
        <w:tc>
          <w:tcPr>
            <w:tcW w:w="22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heme="minorBidi"/>
                <w:color w:val="000000"/>
                <w:sz w:val="21"/>
                <w:szCs w:val="21"/>
                <w:lang w:val="en-US" w:eastAsia="zh-CN" w:bidi="ar-SA"/>
              </w:rPr>
            </w:pPr>
            <w:r>
              <w:rPr>
                <w:rFonts w:hint="eastAsia" w:ascii="宋体" w:hAnsi="宋体"/>
                <w:color w:val="000000"/>
                <w:sz w:val="21"/>
                <w:szCs w:val="21"/>
              </w:rPr>
              <w:t>外运填埋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567" w:hRule="atLeast"/>
        </w:trPr>
        <w:tc>
          <w:tcPr>
            <w:tcW w:w="5016"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theme="minorBidi"/>
                <w:sz w:val="21"/>
                <w:szCs w:val="21"/>
                <w:lang w:val="en-US" w:eastAsia="zh-CN" w:bidi="ar-SA"/>
              </w:rPr>
            </w:pPr>
            <w:r>
              <w:rPr>
                <w:rFonts w:ascii="宋体" w:hAnsi="宋体"/>
                <w:sz w:val="21"/>
                <w:szCs w:val="21"/>
              </w:rPr>
              <w:t>废旧包装桶</w:t>
            </w:r>
          </w:p>
        </w:tc>
        <w:tc>
          <w:tcPr>
            <w:tcW w:w="24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宋体" w:hAnsi="宋体" w:eastAsia="宋体" w:cstheme="minorBidi"/>
                <w:sz w:val="21"/>
                <w:szCs w:val="21"/>
                <w:lang w:val="en-US" w:eastAsia="zh-CN" w:bidi="ar-SA"/>
              </w:rPr>
            </w:pPr>
            <w:r>
              <w:rPr>
                <w:rFonts w:ascii="宋体" w:hAnsi="宋体"/>
                <w:sz w:val="21"/>
                <w:szCs w:val="21"/>
              </w:rPr>
              <w:t>一般固废</w:t>
            </w:r>
          </w:p>
        </w:tc>
        <w:tc>
          <w:tcPr>
            <w:tcW w:w="22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heme="minorBidi"/>
                <w:color w:val="000000"/>
                <w:sz w:val="21"/>
                <w:szCs w:val="21"/>
                <w:lang w:val="en-US" w:eastAsia="zh-CN" w:bidi="ar-SA"/>
              </w:rPr>
            </w:pPr>
            <w:r>
              <w:rPr>
                <w:rFonts w:ascii="宋体" w:hAnsi="宋体"/>
                <w:color w:val="000000"/>
                <w:sz w:val="21"/>
                <w:szCs w:val="21"/>
              </w:rPr>
              <w:t>供货厂家回收处理</w:t>
            </w:r>
          </w:p>
        </w:tc>
      </w:tr>
    </w:tbl>
    <w:p>
      <w:pPr>
        <w:pStyle w:val="6"/>
        <w:keepNext/>
        <w:keepLines/>
        <w:pageBreakBefore w:val="0"/>
        <w:widowControl/>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30"/>
          <w:szCs w:val="30"/>
          <w:highlight w:val="none"/>
          <w:lang w:val="en-US" w:eastAsia="zh-CN"/>
        </w:rPr>
      </w:pPr>
      <w:bookmarkStart w:id="61" w:name="_Toc2958"/>
      <w:bookmarkStart w:id="62" w:name="_Toc12197"/>
      <w:bookmarkStart w:id="63" w:name="_Toc11013"/>
      <w:r>
        <w:rPr>
          <w:rFonts w:hint="default" w:ascii="Times New Roman" w:hAnsi="Times New Roman" w:cs="Times New Roman"/>
          <w:sz w:val="30"/>
          <w:szCs w:val="30"/>
          <w:highlight w:val="none"/>
          <w:lang w:val="en-US" w:eastAsia="zh-CN"/>
        </w:rPr>
        <w:t>4</w:t>
      </w:r>
      <w:r>
        <w:rPr>
          <w:rFonts w:hint="default" w:ascii="Times New Roman" w:hAnsi="Times New Roman" w:cs="Times New Roman"/>
          <w:sz w:val="30"/>
          <w:szCs w:val="30"/>
          <w:highlight w:val="none"/>
        </w:rPr>
        <w:t>.</w:t>
      </w:r>
      <w:r>
        <w:rPr>
          <w:rFonts w:hint="default" w:ascii="Times New Roman" w:hAnsi="Times New Roman" w:cs="Times New Roman"/>
          <w:sz w:val="30"/>
          <w:szCs w:val="30"/>
          <w:highlight w:val="none"/>
          <w:lang w:val="en-US" w:eastAsia="zh-CN"/>
        </w:rPr>
        <w:t>2</w:t>
      </w:r>
      <w:r>
        <w:rPr>
          <w:rFonts w:hint="default" w:ascii="Times New Roman" w:hAnsi="Times New Roman" w:cs="Times New Roman"/>
          <w:sz w:val="30"/>
          <w:szCs w:val="30"/>
          <w:highlight w:val="none"/>
        </w:rPr>
        <w:t xml:space="preserve"> 隐患排查台账</w:t>
      </w:r>
      <w:bookmarkEnd w:id="6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sz w:val="28"/>
          <w:szCs w:val="28"/>
          <w:highlight w:val="none"/>
          <w:lang w:val="en-US" w:eastAsia="zh-CN"/>
        </w:rPr>
        <w:sectPr>
          <w:pgSz w:w="11905" w:h="16838"/>
          <w:pgMar w:top="1134" w:right="1134" w:bottom="1134" w:left="1134" w:header="709" w:footer="709" w:gutter="0"/>
          <w:pgBorders>
            <w:top w:val="none" w:sz="0" w:space="0"/>
            <w:left w:val="none" w:sz="0" w:space="0"/>
            <w:bottom w:val="none" w:sz="0" w:space="0"/>
            <w:right w:val="none" w:sz="0" w:space="0"/>
          </w:pgBorders>
          <w:pgNumType w:fmt="decimal"/>
          <w:cols w:space="0" w:num="1"/>
          <w:rtlGutter w:val="0"/>
          <w:docGrid w:linePitch="360" w:charSpace="0"/>
        </w:sectPr>
      </w:pPr>
      <w:r>
        <w:rPr>
          <w:rFonts w:hint="default" w:ascii="Times New Roman" w:hAnsi="Times New Roman" w:eastAsia="宋体" w:cs="Times New Roman"/>
          <w:sz w:val="28"/>
          <w:szCs w:val="28"/>
          <w:highlight w:val="none"/>
          <w:lang w:val="en-US" w:eastAsia="zh-CN"/>
        </w:rPr>
        <w:t>通过对企业散状液体存储（储罐）、散状液体的转运、散装和包装材料的存储和运输、其他活动（污水处理、废弃物堆放、</w:t>
      </w:r>
      <w:r>
        <w:rPr>
          <w:rFonts w:hint="default" w:ascii="Times New Roman" w:hAnsi="Times New Roman" w:cs="Times New Roman"/>
          <w:sz w:val="28"/>
          <w:szCs w:val="28"/>
          <w:highlight w:val="none"/>
          <w:lang w:val="en-US" w:eastAsia="zh-CN"/>
        </w:rPr>
        <w:t>废气</w:t>
      </w:r>
      <w:r>
        <w:rPr>
          <w:rFonts w:hint="default" w:ascii="Times New Roman" w:hAnsi="Times New Roman" w:eastAsia="宋体" w:cs="Times New Roman"/>
          <w:sz w:val="28"/>
          <w:szCs w:val="28"/>
          <w:highlight w:val="none"/>
          <w:lang w:val="en-US" w:eastAsia="zh-CN"/>
        </w:rPr>
        <w:t>处理、车间存储）等四个大方面逐一进行排查，最终排查结果汇总见表</w:t>
      </w:r>
      <w:r>
        <w:rPr>
          <w:rFonts w:hint="default" w:ascii="Times New Roman" w:hAnsi="Times New Roman" w:cs="Times New Roman"/>
          <w:sz w:val="28"/>
          <w:szCs w:val="28"/>
          <w:highlight w:val="none"/>
          <w:lang w:val="en-US" w:eastAsia="zh-CN"/>
        </w:rPr>
        <w:t>4</w:t>
      </w:r>
      <w:r>
        <w:rPr>
          <w:rFonts w:hint="eastAsia" w:ascii="Times New Roman" w:hAnsi="Times New Roman" w:cs="Times New Roman"/>
          <w:sz w:val="28"/>
          <w:szCs w:val="28"/>
          <w:highlight w:val="none"/>
          <w:lang w:val="en-US" w:eastAsia="zh-CN"/>
        </w:rPr>
        <w:t>-11</w:t>
      </w:r>
      <w:r>
        <w:rPr>
          <w:rFonts w:hint="default" w:ascii="Times New Roman" w:hAnsi="Times New Roman" w:cs="Times New Roman"/>
          <w:sz w:val="28"/>
          <w:szCs w:val="28"/>
          <w:highlight w:val="none"/>
          <w:lang w:val="en-US" w:eastAsia="zh-CN"/>
        </w:rPr>
        <w:t>。</w:t>
      </w:r>
    </w:p>
    <w:p>
      <w:pPr>
        <w:jc w:val="center"/>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rPr>
        <w:t>表</w:t>
      </w:r>
      <w:r>
        <w:rPr>
          <w:rFonts w:hint="default" w:ascii="Times New Roman" w:hAnsi="Times New Roman" w:cs="Times New Roman"/>
          <w:b/>
          <w:bCs/>
          <w:sz w:val="24"/>
          <w:szCs w:val="24"/>
          <w:highlight w:val="none"/>
          <w:lang w:val="en-US" w:eastAsia="zh-CN"/>
        </w:rPr>
        <w:t>4</w:t>
      </w:r>
      <w:r>
        <w:rPr>
          <w:rFonts w:hint="eastAsia" w:ascii="Times New Roman" w:hAnsi="Times New Roman" w:cs="Times New Roman"/>
          <w:b/>
          <w:bCs/>
          <w:sz w:val="24"/>
          <w:szCs w:val="24"/>
          <w:highlight w:val="none"/>
          <w:lang w:val="en-US" w:eastAsia="zh-CN"/>
        </w:rPr>
        <w:t>-11</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rPr>
        <w:t xml:space="preserve"> 土壤污染隐患排查台账</w:t>
      </w:r>
    </w:p>
    <w:tbl>
      <w:tblPr>
        <w:tblStyle w:val="21"/>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97"/>
        <w:gridCol w:w="731"/>
        <w:gridCol w:w="922"/>
        <w:gridCol w:w="1584"/>
        <w:gridCol w:w="4057"/>
        <w:gridCol w:w="2325"/>
        <w:gridCol w:w="1985"/>
        <w:gridCol w:w="1698"/>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85" w:hRule="atLeast"/>
        </w:trPr>
        <w:tc>
          <w:tcPr>
            <w:tcW w:w="731"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企 业 名 称</w:t>
            </w:r>
          </w:p>
        </w:tc>
        <w:tc>
          <w:tcPr>
            <w:tcW w:w="1919" w:type="pct"/>
            <w:gridSpan w:val="2"/>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eastAsia="zh-CN"/>
              </w:rPr>
            </w:pPr>
            <w:r>
              <w:rPr>
                <w:rFonts w:hint="eastAsia" w:ascii="Times New Roman" w:hAnsi="Times New Roman" w:cs="Times New Roman"/>
                <w:i w:val="0"/>
                <w:iCs w:val="0"/>
                <w:color w:val="000000"/>
                <w:sz w:val="21"/>
                <w:szCs w:val="21"/>
                <w:highlight w:val="none"/>
                <w:u w:val="none"/>
                <w:lang w:eastAsia="zh-CN"/>
              </w:rPr>
              <w:t>安阳九久化学科技有限公司</w:t>
            </w:r>
          </w:p>
        </w:tc>
        <w:tc>
          <w:tcPr>
            <w:tcW w:w="7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所 属 行 业</w:t>
            </w:r>
          </w:p>
        </w:tc>
        <w:tc>
          <w:tcPr>
            <w:tcW w:w="1558"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eastAsia="zh-CN"/>
              </w:rPr>
            </w:pPr>
            <w:r>
              <w:rPr>
                <w:rFonts w:hint="default" w:ascii="Times New Roman" w:hAnsi="Times New Roman" w:eastAsia="宋体" w:cs="Times New Roman"/>
                <w:i w:val="0"/>
                <w:iCs w:val="0"/>
                <w:color w:val="000000"/>
                <w:sz w:val="21"/>
                <w:szCs w:val="21"/>
                <w:highlight w:val="none"/>
                <w:u w:val="none"/>
                <w:lang w:eastAsia="zh-CN"/>
              </w:rPr>
              <w:t>C3216铝冶炼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5" w:hRule="atLeast"/>
        </w:trPr>
        <w:tc>
          <w:tcPr>
            <w:tcW w:w="731"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现场排查负责人</w:t>
            </w:r>
          </w:p>
        </w:tc>
        <w:tc>
          <w:tcPr>
            <w:tcW w:w="1919" w:type="pct"/>
            <w:gridSpan w:val="2"/>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胡海霞</w:t>
            </w:r>
          </w:p>
        </w:tc>
        <w:tc>
          <w:tcPr>
            <w:tcW w:w="7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排查时间</w:t>
            </w:r>
          </w:p>
        </w:tc>
        <w:tc>
          <w:tcPr>
            <w:tcW w:w="1558" w:type="pct"/>
            <w:gridSpan w:val="3"/>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cs="Times New Roman"/>
                <w:i w:val="0"/>
                <w:iCs w:val="0"/>
                <w:color w:val="000000"/>
                <w:sz w:val="21"/>
                <w:szCs w:val="21"/>
                <w:highlight w:val="none"/>
                <w:u w:val="none"/>
                <w:lang w:val="en-US" w:eastAsia="zh-CN"/>
              </w:rPr>
              <w:t>2021年0</w:t>
            </w:r>
            <w:r>
              <w:rPr>
                <w:rFonts w:hint="eastAsia" w:ascii="Times New Roman" w:hAnsi="Times New Roman" w:cs="Times New Roman"/>
                <w:i w:val="0"/>
                <w:iCs w:val="0"/>
                <w:color w:val="000000"/>
                <w:sz w:val="21"/>
                <w:szCs w:val="21"/>
                <w:highlight w:val="none"/>
                <w:u w:val="none"/>
                <w:lang w:val="en-US" w:eastAsia="zh-CN"/>
              </w:rPr>
              <w:t>8</w:t>
            </w:r>
            <w:r>
              <w:rPr>
                <w:rFonts w:hint="default" w:ascii="Times New Roman" w:hAnsi="Times New Roman" w:eastAsia="宋体" w:cs="Times New Roman"/>
                <w:i w:val="0"/>
                <w:iCs w:val="0"/>
                <w:color w:val="000000"/>
                <w:sz w:val="21"/>
                <w:szCs w:val="21"/>
                <w:highlight w:val="none"/>
                <w:u w:val="none"/>
              </w:rPr>
              <w:t>月</w:t>
            </w:r>
            <w:r>
              <w:rPr>
                <w:rFonts w:hint="eastAsia" w:ascii="Times New Roman" w:hAnsi="Times New Roman" w:cs="Times New Roman"/>
                <w:i w:val="0"/>
                <w:iCs w:val="0"/>
                <w:color w:val="000000"/>
                <w:sz w:val="21"/>
                <w:szCs w:val="21"/>
                <w:highlight w:val="none"/>
                <w:u w:val="none"/>
                <w:lang w:val="en-US" w:eastAsia="zh-CN"/>
              </w:rPr>
              <w:t>18</w:t>
            </w:r>
            <w:r>
              <w:rPr>
                <w:rFonts w:hint="default" w:ascii="Times New Roman" w:hAnsi="Times New Roman" w:eastAsia="宋体" w:cs="Times New Roman"/>
                <w:i w:val="0"/>
                <w:iCs w:val="0"/>
                <w:color w:val="000000"/>
                <w:sz w:val="21"/>
                <w:szCs w:val="21"/>
                <w:highlight w:val="none"/>
                <w:u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5"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序号</w:t>
            </w:r>
          </w:p>
        </w:tc>
        <w:tc>
          <w:tcPr>
            <w:tcW w:w="24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涉及工业活动</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重点场所或者重点设施设备</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位置信息</w:t>
            </w:r>
          </w:p>
        </w:tc>
        <w:tc>
          <w:tcPr>
            <w:tcW w:w="138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现场图片</w:t>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排查情况</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隐患点</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整改建议</w:t>
            </w:r>
          </w:p>
        </w:tc>
        <w:tc>
          <w:tcPr>
            <w:tcW w:w="304"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备</w:t>
            </w:r>
            <w:r>
              <w:rPr>
                <w:rStyle w:val="77"/>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7"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液体储存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接地</w:t>
            </w:r>
            <w:r>
              <w:rPr>
                <w:rFonts w:hint="eastAsia" w:ascii="Times New Roman" w:hAnsi="Times New Roman" w:eastAsia="宋体" w:cs="Times New Roman"/>
                <w:i w:val="0"/>
                <w:iCs w:val="0"/>
                <w:color w:val="000000"/>
                <w:kern w:val="0"/>
                <w:sz w:val="21"/>
                <w:szCs w:val="21"/>
                <w:u w:val="none"/>
                <w:lang w:val="en-US" w:eastAsia="zh-CN" w:bidi="ar"/>
              </w:rPr>
              <w:t>储罐</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E:114.120751°</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N:36.104807</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eastAsia" w:ascii="Times New Roman" w:hAnsi="Times New Roman" w:eastAsia="宋体" w:cs="Times New Roman"/>
                <w:i w:val="0"/>
                <w:iCs w:val="0"/>
                <w:color w:val="000000"/>
                <w:sz w:val="21"/>
                <w:szCs w:val="21"/>
                <w:highlight w:val="none"/>
                <w:u w:val="none"/>
                <w:lang w:eastAsia="zh-CN"/>
              </w:rPr>
              <w:drawing>
                <wp:inline distT="0" distB="0" distL="114300" distR="114300">
                  <wp:extent cx="2744470" cy="2141855"/>
                  <wp:effectExtent l="0" t="0" r="13970" b="6985"/>
                  <wp:docPr id="109" name="图片 109" descr="C:/Users/Administrator/AppData/Local/Temp/picturecompress_20210930180217/output_45.jpgoutput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Administrator/AppData/Local/Temp/picturecompress_20210930180217/output_45.jpgoutput_45"/>
                          <pic:cNvPicPr>
                            <a:picLocks noChangeAspect="1"/>
                          </pic:cNvPicPr>
                        </pic:nvPicPr>
                        <pic:blipFill>
                          <a:blip r:embed="rId65"/>
                          <a:stretch>
                            <a:fillRect/>
                          </a:stretch>
                        </pic:blipFill>
                        <pic:spPr>
                          <a:xfrm>
                            <a:off x="0" y="0"/>
                            <a:ext cx="2744470" cy="214185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cs="Times New Roman" w:hAnsiTheme="minorEastAsia" w:eastAsiaTheme="minorEastAsia"/>
                <w:kern w:val="2"/>
                <w:sz w:val="21"/>
                <w:szCs w:val="21"/>
              </w:rPr>
              <w:t>地面水泥硬化，设置围堰</w:t>
            </w:r>
            <w:r>
              <w:rPr>
                <w:rFonts w:hint="eastAsia" w:ascii="Times New Roman" w:cs="Times New Roman" w:hAnsiTheme="minorEastAsia" w:eastAsiaTheme="minorEastAsia"/>
                <w:kern w:val="2"/>
                <w:sz w:val="21"/>
                <w:szCs w:val="21"/>
                <w:lang w:eastAsia="zh-CN"/>
              </w:rPr>
              <w:t>，</w:t>
            </w:r>
            <w:r>
              <w:rPr>
                <w:rFonts w:hint="eastAsia" w:ascii="Times New Roman" w:cs="Times New Roman" w:hAnsiTheme="minorEastAsia" w:eastAsiaTheme="minorEastAsia"/>
                <w:kern w:val="2"/>
                <w:sz w:val="21"/>
                <w:szCs w:val="21"/>
                <w:lang w:val="en-US" w:eastAsia="zh-CN"/>
              </w:rPr>
              <w:t>设置</w:t>
            </w:r>
            <w:r>
              <w:rPr>
                <w:rFonts w:hint="eastAsia" w:ascii="Times New Roman" w:cs="Times New Roman" w:hAnsiTheme="minorEastAsia"/>
                <w:kern w:val="2"/>
                <w:sz w:val="21"/>
                <w:szCs w:val="21"/>
                <w:lang w:val="en-US" w:eastAsia="zh-CN"/>
              </w:rPr>
              <w:t>溢流收集</w:t>
            </w:r>
            <w:r>
              <w:rPr>
                <w:rFonts w:hint="eastAsia" w:ascii="Times New Roman" w:cs="Times New Roman" w:hAnsiTheme="minorEastAsia" w:eastAsiaTheme="minorEastAsia"/>
                <w:kern w:val="2"/>
                <w:sz w:val="21"/>
                <w:szCs w:val="21"/>
                <w:lang w:val="en-US" w:eastAsia="zh-CN"/>
              </w:rPr>
              <w:t>装置</w:t>
            </w:r>
          </w:p>
        </w:tc>
        <w:tc>
          <w:tcPr>
            <w:tcW w:w="675" w:type="pct"/>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spacing w:line="240" w:lineRule="auto"/>
              <w:ind w:left="0" w:leftChars="0"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部分罐体基座外层出现腐蚀和脱落现象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修缮离地基座，加强管理，定期维护</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2</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液体储存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离地储罐</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E:114.120665°</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N:36.104099</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eastAsia" w:ascii="Times New Roman" w:hAnsi="Times New Roman" w:eastAsia="宋体" w:cs="Times New Roman"/>
                <w:i w:val="0"/>
                <w:iCs w:val="0"/>
                <w:color w:val="000000"/>
                <w:sz w:val="21"/>
                <w:szCs w:val="21"/>
                <w:highlight w:val="none"/>
                <w:u w:val="none"/>
                <w:lang w:eastAsia="zh-CN"/>
              </w:rPr>
              <w:drawing>
                <wp:inline distT="0" distB="0" distL="114300" distR="114300">
                  <wp:extent cx="2651760" cy="2079625"/>
                  <wp:effectExtent l="0" t="0" r="0" b="8255"/>
                  <wp:docPr id="108" name="图片 108" descr="C:/Users/Administrator/AppData/Local/Temp/picturecompress_20210930180217/output_46.jpgoutput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Administrator/AppData/Local/Temp/picturecompress_20210930180217/output_46.jpgoutput_46"/>
                          <pic:cNvPicPr>
                            <a:picLocks noChangeAspect="1"/>
                          </pic:cNvPicPr>
                        </pic:nvPicPr>
                        <pic:blipFill>
                          <a:blip r:embed="rId66"/>
                          <a:stretch>
                            <a:fillRect/>
                          </a:stretch>
                        </pic:blipFill>
                        <pic:spPr>
                          <a:xfrm>
                            <a:off x="0" y="0"/>
                            <a:ext cx="2651760" cy="207962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cs="Times New Roman" w:hAnsiTheme="minorEastAsia" w:eastAsiaTheme="minorEastAsia"/>
                <w:kern w:val="2"/>
                <w:sz w:val="21"/>
                <w:szCs w:val="21"/>
              </w:rPr>
              <w:t>地面水泥硬化，设置围堰</w:t>
            </w:r>
            <w:r>
              <w:rPr>
                <w:rFonts w:hint="eastAsia" w:ascii="Times New Roman" w:cs="Times New Roman" w:hAnsiTheme="minorEastAsia" w:eastAsiaTheme="minorEastAsia"/>
                <w:kern w:val="2"/>
                <w:sz w:val="21"/>
                <w:szCs w:val="21"/>
                <w:lang w:eastAsia="zh-CN"/>
              </w:rPr>
              <w:t>，</w:t>
            </w:r>
            <w:r>
              <w:rPr>
                <w:rFonts w:hint="eastAsia" w:ascii="Times New Roman" w:cs="Times New Roman" w:hAnsiTheme="minorEastAsia" w:eastAsiaTheme="minorEastAsia"/>
                <w:kern w:val="2"/>
                <w:sz w:val="21"/>
                <w:szCs w:val="21"/>
                <w:lang w:val="en-US" w:eastAsia="zh-CN"/>
              </w:rPr>
              <w:t>设置</w:t>
            </w:r>
            <w:r>
              <w:rPr>
                <w:rFonts w:hint="eastAsia" w:ascii="Times New Roman" w:cs="Times New Roman" w:hAnsiTheme="minorEastAsia"/>
                <w:kern w:val="2"/>
                <w:sz w:val="21"/>
                <w:szCs w:val="21"/>
                <w:lang w:val="en-US" w:eastAsia="zh-CN"/>
              </w:rPr>
              <w:t>溢流收集</w:t>
            </w:r>
            <w:r>
              <w:rPr>
                <w:rFonts w:hint="eastAsia" w:ascii="Times New Roman" w:cs="Times New Roman" w:hAnsiTheme="minorEastAsia" w:eastAsiaTheme="minorEastAsia"/>
                <w:kern w:val="2"/>
                <w:sz w:val="21"/>
                <w:szCs w:val="21"/>
                <w:lang w:val="en-US" w:eastAsia="zh-CN"/>
              </w:rPr>
              <w:t>装置</w:t>
            </w:r>
          </w:p>
        </w:tc>
        <w:tc>
          <w:tcPr>
            <w:tcW w:w="675" w:type="pct"/>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部分罐体基座外层出现腐蚀现象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重新刷防腐蚀漆</w:t>
            </w:r>
            <w:r>
              <w:rPr>
                <w:rFonts w:hint="eastAsia" w:ascii="Times New Roman" w:hAnsi="Times New Roman" w:eastAsia="宋体" w:cs="Times New Roman"/>
                <w:i w:val="0"/>
                <w:iCs w:val="0"/>
                <w:color w:val="000000"/>
                <w:kern w:val="0"/>
                <w:sz w:val="21"/>
                <w:szCs w:val="21"/>
                <w:highlight w:val="none"/>
                <w:u w:val="none"/>
                <w:lang w:val="en-US" w:eastAsia="zh-CN" w:bidi="ar"/>
              </w:rPr>
              <w:t>，加强管理，定期维护</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7"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3</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储存坑/塘</w:t>
            </w:r>
          </w:p>
        </w:tc>
        <w:tc>
          <w:tcPr>
            <w:tcW w:w="313"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地下事故池</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E:114.123093°</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N:36.104960</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eastAsia="zh-CN"/>
              </w:rPr>
            </w:pPr>
            <w:r>
              <w:rPr>
                <w:rFonts w:hint="default" w:ascii="Times New Roman" w:hAnsi="Times New Roman" w:eastAsia="宋体" w:cs="Times New Roman"/>
                <w:kern w:val="2"/>
                <w:sz w:val="21"/>
                <w:szCs w:val="21"/>
                <w:highlight w:val="none"/>
                <w:vertAlign w:val="baseline"/>
                <w:lang w:val="en-US" w:eastAsia="zh-CN" w:bidi="ar-SA"/>
              </w:rPr>
              <w:drawing>
                <wp:inline distT="0" distB="0" distL="114300" distR="114300">
                  <wp:extent cx="2498725" cy="1993265"/>
                  <wp:effectExtent l="0" t="0" r="635" b="3175"/>
                  <wp:docPr id="110" name="图片 110" descr="C:/Users/Administrator/AppData/Local/Temp/picturecompress_20210930180217/output_47.jpgoutput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Administrator/AppData/Local/Temp/picturecompress_20210930180217/output_47.jpgoutput_47"/>
                          <pic:cNvPicPr>
                            <a:picLocks noChangeAspect="1"/>
                          </pic:cNvPicPr>
                        </pic:nvPicPr>
                        <pic:blipFill>
                          <a:blip r:embed="rId67"/>
                          <a:stretch>
                            <a:fillRect/>
                          </a:stretch>
                        </pic:blipFill>
                        <pic:spPr>
                          <a:xfrm>
                            <a:off x="0" y="0"/>
                            <a:ext cx="2498725" cy="1993265"/>
                          </a:xfrm>
                          <a:prstGeom prst="rect">
                            <a:avLst/>
                          </a:prstGeom>
                        </pic:spPr>
                      </pic:pic>
                    </a:graphicData>
                  </a:graphic>
                </wp:inline>
              </w:drawing>
            </w:r>
          </w:p>
        </w:tc>
        <w:tc>
          <w:tcPr>
            <w:tcW w:w="7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地下事故池</w:t>
            </w:r>
            <w:r>
              <w:rPr>
                <w:rFonts w:hint="default" w:ascii="Times New Roman" w:hAnsi="Times New Roman" w:cs="Times New Roman"/>
                <w:i w:val="0"/>
                <w:iCs w:val="0"/>
                <w:color w:val="000000"/>
                <w:kern w:val="0"/>
                <w:sz w:val="21"/>
                <w:szCs w:val="21"/>
                <w:highlight w:val="none"/>
                <w:u w:val="none"/>
                <w:lang w:val="en-US" w:eastAsia="zh-CN" w:bidi="ar"/>
              </w:rPr>
              <w:t>为钢筋混凝土材质，池底及池壁水泥地面硬化，水池内部设置防腐涂层，顶部</w:t>
            </w:r>
            <w:r>
              <w:rPr>
                <w:rFonts w:hint="eastAsia" w:ascii="Times New Roman" w:hAnsi="Times New Roman" w:cs="Times New Roman"/>
                <w:i w:val="0"/>
                <w:iCs w:val="0"/>
                <w:color w:val="000000"/>
                <w:kern w:val="0"/>
                <w:sz w:val="21"/>
                <w:szCs w:val="21"/>
                <w:highlight w:val="none"/>
                <w:u w:val="none"/>
                <w:lang w:val="en-US" w:eastAsia="zh-CN" w:bidi="ar"/>
              </w:rPr>
              <w:t>钢筋混净土</w:t>
            </w:r>
            <w:r>
              <w:rPr>
                <w:rFonts w:hint="default" w:ascii="Times New Roman" w:hAnsi="Times New Roman" w:cs="Times New Roman"/>
                <w:i w:val="0"/>
                <w:iCs w:val="0"/>
                <w:color w:val="000000"/>
                <w:kern w:val="0"/>
                <w:sz w:val="21"/>
                <w:szCs w:val="21"/>
                <w:highlight w:val="none"/>
                <w:u w:val="none"/>
                <w:lang w:val="en-US" w:eastAsia="zh-CN" w:bidi="ar"/>
              </w:rPr>
              <w:t>覆盖硬化，职工定期检查。</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事故池上方存在少量杂物，有积水现象</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转移杂物，清理积水，定期维护和巡查</w:t>
            </w:r>
          </w:p>
        </w:tc>
        <w:tc>
          <w:tcPr>
            <w:tcW w:w="304"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cs="Times New Roman"/>
                <w:i w:val="0"/>
                <w:iCs w:val="0"/>
                <w:color w:val="000000"/>
                <w:sz w:val="21"/>
                <w:szCs w:val="21"/>
                <w:highlight w:val="none"/>
                <w:u w:val="none"/>
                <w:lang w:val="en-US" w:eastAsia="zh-CN"/>
              </w:rPr>
              <w:t>4</w:t>
            </w:r>
          </w:p>
        </w:tc>
        <w:tc>
          <w:tcPr>
            <w:tcW w:w="24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污水处理</w:t>
            </w:r>
          </w:p>
        </w:tc>
        <w:tc>
          <w:tcPr>
            <w:tcW w:w="313"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污水处理设施</w:t>
            </w:r>
          </w:p>
        </w:tc>
        <w:tc>
          <w:tcPr>
            <w:tcW w:w="53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E:114.122200°</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N:36.103466</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09190" cy="1806575"/>
                  <wp:effectExtent l="0" t="0" r="13970" b="6985"/>
                  <wp:docPr id="111" name="图片 111" descr="C:/Users/Administrator/AppData/Local/Temp/picturecompress_20210930180217/output_48.jpgoutput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Administrator/AppData/Local/Temp/picturecompress_20210930180217/output_48.jpgoutput_48"/>
                          <pic:cNvPicPr>
                            <a:picLocks noChangeAspect="1"/>
                          </pic:cNvPicPr>
                        </pic:nvPicPr>
                        <pic:blipFill>
                          <a:blip r:embed="rId68"/>
                          <a:stretch>
                            <a:fillRect/>
                          </a:stretch>
                        </pic:blipFill>
                        <pic:spPr>
                          <a:xfrm>
                            <a:off x="0" y="0"/>
                            <a:ext cx="2409190" cy="1806575"/>
                          </a:xfrm>
                          <a:prstGeom prst="rect">
                            <a:avLst/>
                          </a:prstGeom>
                        </pic:spPr>
                      </pic:pic>
                    </a:graphicData>
                  </a:graphic>
                </wp:inline>
              </w:drawing>
            </w:r>
          </w:p>
        </w:tc>
        <w:tc>
          <w:tcPr>
            <w:tcW w:w="791"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cs="Times New Roman"/>
                <w:bCs/>
                <w:sz w:val="21"/>
                <w:szCs w:val="21"/>
              </w:rPr>
              <w:t>1座480m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/d污水处理装置，</w:t>
            </w:r>
            <w:r>
              <w:rPr>
                <w:rFonts w:hint="default" w:ascii="Times New Roman" w:hAnsi="Times New Roman" w:cs="Times New Roman"/>
                <w:color w:val="000000"/>
                <w:sz w:val="21"/>
                <w:szCs w:val="21"/>
              </w:rPr>
              <w:t>采用氧化+微电解+混凝沉淀+脱硫进行预处理后，再采用厌氧+缺氧+好氧+二沉+生物活性炭滤池处理工艺</w:t>
            </w:r>
          </w:p>
        </w:tc>
        <w:tc>
          <w:tcPr>
            <w:tcW w:w="675" w:type="pct"/>
            <w:vMerge w:val="restart"/>
            <w:shd w:val="clear" w:color="auto" w:fill="auto"/>
            <w:vAlign w:val="center"/>
          </w:tcPr>
          <w:p>
            <w:pPr>
              <w:keepNext w:val="0"/>
              <w:keepLines w:val="0"/>
              <w:pageBreakBefore w:val="0"/>
              <w:widowControl/>
              <w:numPr>
                <w:ilvl w:val="0"/>
                <w:numId w:val="4"/>
              </w:numPr>
              <w:suppressLineNumbers w:val="0"/>
              <w:kinsoku/>
              <w:wordWrap/>
              <w:overflowPunct/>
              <w:topLinePunct w:val="0"/>
              <w:autoSpaceDE/>
              <w:autoSpaceDN/>
              <w:bidi w:val="0"/>
              <w:spacing w:line="240" w:lineRule="auto"/>
              <w:ind w:firstLine="0" w:firstLineChars="0"/>
              <w:jc w:val="center"/>
              <w:textAlignment w:val="center"/>
              <w:rPr>
                <w:rFonts w:hint="eastAsia"/>
                <w:sz w:val="21"/>
                <w:szCs w:val="21"/>
                <w:lang w:val="en-US" w:eastAsia="zh-CN"/>
              </w:rPr>
            </w:pPr>
            <w:r>
              <w:rPr>
                <w:rFonts w:hint="eastAsia"/>
                <w:sz w:val="21"/>
                <w:szCs w:val="21"/>
                <w:lang w:val="en-US" w:eastAsia="zh-CN"/>
              </w:rPr>
              <w:t>部分管道保护层脱落</w:t>
            </w:r>
          </w:p>
          <w:p>
            <w:pPr>
              <w:keepNext w:val="0"/>
              <w:keepLines w:val="0"/>
              <w:pageBreakBefore w:val="0"/>
              <w:widowControl/>
              <w:numPr>
                <w:ilvl w:val="0"/>
                <w:numId w:val="0"/>
              </w:numPr>
              <w:suppressLineNumbers w:val="0"/>
              <w:kinsoku/>
              <w:wordWrap/>
              <w:overflowPunct/>
              <w:topLinePunct w:val="0"/>
              <w:autoSpaceDE/>
              <w:autoSpaceDN/>
              <w:bidi w:val="0"/>
              <w:spacing w:line="240" w:lineRule="auto"/>
              <w:jc w:val="center"/>
              <w:textAlignment w:val="center"/>
              <w:rPr>
                <w:rFonts w:hint="eastAsia"/>
                <w:sz w:val="21"/>
                <w:szCs w:val="21"/>
                <w:lang w:val="en-US" w:eastAsia="zh-CN"/>
              </w:rPr>
            </w:pPr>
            <w:r>
              <w:rPr>
                <w:rFonts w:hint="eastAsia"/>
                <w:sz w:val="21"/>
                <w:szCs w:val="21"/>
                <w:lang w:val="en-US" w:eastAsia="zh-CN"/>
              </w:rPr>
              <w:t>2、污水储罐处隔离栅栏老化生锈严重</w:t>
            </w:r>
          </w:p>
          <w:p>
            <w:pPr>
              <w:pStyle w:val="2"/>
              <w:numPr>
                <w:ilvl w:val="0"/>
                <w:numId w:val="0"/>
              </w:numPr>
              <w:ind w:leftChars="200"/>
              <w:jc w:val="center"/>
              <w:rPr>
                <w:rFonts w:hint="default"/>
                <w:sz w:val="21"/>
                <w:szCs w:val="21"/>
                <w:lang w:val="en-US" w:eastAsia="zh-CN"/>
              </w:rPr>
            </w:pPr>
          </w:p>
        </w:tc>
        <w:tc>
          <w:tcPr>
            <w:tcW w:w="577" w:type="pct"/>
            <w:vMerge w:val="restart"/>
            <w:shd w:val="clear" w:color="auto" w:fill="auto"/>
            <w:vAlign w:val="center"/>
          </w:tcPr>
          <w:p>
            <w:pPr>
              <w:keepNext w:val="0"/>
              <w:keepLines w:val="0"/>
              <w:pageBreakBefore w:val="0"/>
              <w:widowControl/>
              <w:numPr>
                <w:ilvl w:val="0"/>
                <w:numId w:val="5"/>
              </w:numPr>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建议在裸漏管道处重新做保护隔层</w:t>
            </w:r>
          </w:p>
          <w:p>
            <w:pPr>
              <w:keepNext w:val="0"/>
              <w:keepLines w:val="0"/>
              <w:pageBreakBefore w:val="0"/>
              <w:widowControl/>
              <w:numPr>
                <w:ilvl w:val="0"/>
                <w:numId w:val="0"/>
              </w:numPr>
              <w:suppressLineNumbers w:val="0"/>
              <w:kinsoku/>
              <w:wordWrap/>
              <w:overflowPunct/>
              <w:topLinePunct w:val="0"/>
              <w:autoSpaceDE/>
              <w:autoSpaceDN/>
              <w:bidi w:val="0"/>
              <w:spacing w:line="240" w:lineRule="auto"/>
              <w:jc w:val="both"/>
              <w:textAlignment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2、更换</w:t>
            </w:r>
            <w:r>
              <w:rPr>
                <w:rFonts w:hint="eastAsia"/>
                <w:sz w:val="21"/>
                <w:szCs w:val="21"/>
                <w:lang w:val="en-US" w:eastAsia="zh-CN"/>
              </w:rPr>
              <w:t>污水储罐处隔离栅栏老化生锈严重</w:t>
            </w:r>
          </w:p>
        </w:tc>
        <w:tc>
          <w:tcPr>
            <w:tcW w:w="304" w:type="pct"/>
            <w:vMerge w:val="restar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sz w:val="21"/>
                <w:szCs w:val="21"/>
                <w:highlight w:val="none"/>
                <w:u w:val="none"/>
                <w:lang w:val="en-US" w:eastAsia="zh-CN"/>
              </w:rPr>
            </w:pPr>
          </w:p>
        </w:tc>
        <w:tc>
          <w:tcPr>
            <w:tcW w:w="248"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313" w:type="pct"/>
            <w:vMerge w:val="continue"/>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p>
        </w:tc>
        <w:tc>
          <w:tcPr>
            <w:tcW w:w="538"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09190" cy="1806575"/>
                  <wp:effectExtent l="0" t="0" r="13970" b="6985"/>
                  <wp:docPr id="5" name="图片 5" descr="C:/Users/Administrator/AppData/Local/Temp/picturecompress_20210930180217/output_49.jpgoutput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10930180217/output_49.jpgoutput_49"/>
                          <pic:cNvPicPr>
                            <a:picLocks noChangeAspect="1"/>
                          </pic:cNvPicPr>
                        </pic:nvPicPr>
                        <pic:blipFill>
                          <a:blip r:embed="rId69"/>
                          <a:stretch>
                            <a:fillRect/>
                          </a:stretch>
                        </pic:blipFill>
                        <pic:spPr>
                          <a:xfrm>
                            <a:off x="0" y="0"/>
                            <a:ext cx="2409190" cy="1806575"/>
                          </a:xfrm>
                          <a:prstGeom prst="rect">
                            <a:avLst/>
                          </a:prstGeom>
                        </pic:spPr>
                      </pic:pic>
                    </a:graphicData>
                  </a:graphic>
                </wp:inline>
              </w:drawing>
            </w:r>
          </w:p>
        </w:tc>
        <w:tc>
          <w:tcPr>
            <w:tcW w:w="791" w:type="pct"/>
            <w:vMerge w:val="continue"/>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bCs/>
                <w:sz w:val="21"/>
                <w:szCs w:val="21"/>
              </w:rPr>
            </w:pPr>
          </w:p>
        </w:tc>
        <w:tc>
          <w:tcPr>
            <w:tcW w:w="675" w:type="pct"/>
            <w:vMerge w:val="continue"/>
            <w:shd w:val="clear" w:color="auto" w:fill="auto"/>
            <w:vAlign w:val="center"/>
          </w:tcPr>
          <w:p>
            <w:pPr>
              <w:pStyle w:val="2"/>
              <w:numPr>
                <w:ilvl w:val="0"/>
                <w:numId w:val="0"/>
              </w:numPr>
              <w:ind w:leftChars="200"/>
              <w:rPr>
                <w:rFonts w:hint="default"/>
                <w:lang w:val="en-US" w:eastAsia="zh-CN"/>
              </w:rPr>
            </w:pPr>
          </w:p>
        </w:tc>
        <w:tc>
          <w:tcPr>
            <w:tcW w:w="577"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304" w:type="pct"/>
            <w:vMerge w:val="continue"/>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5</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管道运输</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管道运输</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i w:val="0"/>
                <w:iCs w:val="0"/>
                <w:color w:val="000000"/>
                <w:sz w:val="21"/>
                <w:szCs w:val="21"/>
                <w:highlight w:val="none"/>
                <w:u w:val="none"/>
                <w:lang w:val="en-US" w:eastAsia="zh-CN" w:bidi="ar-SA"/>
              </w:rPr>
              <w:drawing>
                <wp:inline distT="0" distB="0" distL="114300" distR="114300">
                  <wp:extent cx="2462530" cy="1846580"/>
                  <wp:effectExtent l="0" t="0" r="6350" b="12700"/>
                  <wp:docPr id="112" name="图片 112" descr="C:/Users/Administrator/AppData/Local/Temp/picturecompress_20210930180217/output_50.jpgoutput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Administrator/AppData/Local/Temp/picturecompress_20210930180217/output_50.jpgoutput_50"/>
                          <pic:cNvPicPr>
                            <a:picLocks noChangeAspect="1"/>
                          </pic:cNvPicPr>
                        </pic:nvPicPr>
                        <pic:blipFill>
                          <a:blip r:embed="rId70"/>
                          <a:stretch>
                            <a:fillRect/>
                          </a:stretch>
                        </pic:blipFill>
                        <pic:spPr>
                          <a:xfrm>
                            <a:off x="0" y="0"/>
                            <a:ext cx="2462530" cy="1846580"/>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防腐</w:t>
            </w:r>
            <w:r>
              <w:rPr>
                <w:rFonts w:hint="default" w:ascii="Times New Roman" w:hAnsi="Times New Roman" w:cs="Times New Roman"/>
                <w:sz w:val="21"/>
                <w:szCs w:val="21"/>
                <w:highlight w:val="none"/>
                <w:vertAlign w:val="baseline"/>
                <w:lang w:val="en-US" w:eastAsia="zh-CN"/>
              </w:rPr>
              <w:t>单</w:t>
            </w:r>
            <w:r>
              <w:rPr>
                <w:rFonts w:hint="default" w:ascii="Times New Roman" w:hAnsi="Times New Roman" w:eastAsia="宋体" w:cs="Times New Roman"/>
                <w:sz w:val="21"/>
                <w:szCs w:val="21"/>
                <w:highlight w:val="none"/>
                <w:vertAlign w:val="baseline"/>
                <w:lang w:val="en-US" w:eastAsia="zh-CN"/>
              </w:rPr>
              <w:t>层管道，</w:t>
            </w:r>
            <w:r>
              <w:rPr>
                <w:rFonts w:hint="eastAsia" w:ascii="Times New Roman" w:hAnsi="Times New Roman" w:cs="Times New Roman"/>
                <w:sz w:val="21"/>
                <w:szCs w:val="21"/>
                <w:highlight w:val="none"/>
                <w:vertAlign w:val="baseline"/>
                <w:lang w:val="en-US" w:eastAsia="zh-CN"/>
              </w:rPr>
              <w:t>外部配置保护隔层，</w:t>
            </w:r>
            <w:r>
              <w:rPr>
                <w:rFonts w:hint="default" w:ascii="Times New Roman" w:hAnsi="Times New Roman" w:eastAsia="宋体" w:cs="Times New Roman"/>
                <w:sz w:val="21"/>
                <w:szCs w:val="21"/>
                <w:highlight w:val="none"/>
                <w:vertAlign w:val="baseline"/>
                <w:lang w:val="en-US" w:eastAsia="zh-CN"/>
              </w:rPr>
              <w:t>采用地上管道</w:t>
            </w:r>
            <w:r>
              <w:rPr>
                <w:rFonts w:hint="eastAsia" w:ascii="Times New Roman" w:hAnsi="Times New Roman" w:eastAsia="宋体" w:cs="Times New Roman"/>
                <w:sz w:val="21"/>
                <w:szCs w:val="21"/>
                <w:highlight w:val="none"/>
                <w:vertAlign w:val="baseline"/>
                <w:lang w:val="en-US" w:eastAsia="zh-CN"/>
              </w:rPr>
              <w:t>，基本不存在跑冒滴漏现象，</w:t>
            </w:r>
            <w:r>
              <w:rPr>
                <w:rFonts w:hint="default" w:ascii="Times New Roman" w:hAnsi="Times New Roman" w:eastAsia="宋体" w:cs="Times New Roman"/>
                <w:sz w:val="21"/>
                <w:szCs w:val="21"/>
                <w:highlight w:val="none"/>
                <w:vertAlign w:val="baseline"/>
                <w:lang w:val="en-US" w:eastAsia="zh-CN"/>
              </w:rPr>
              <w:t>定期专人泄漏检查</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少量管道外部保护隔层脱落</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建议在裸漏管道处重做隔层</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6</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泵运输</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泵运输</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sz w:val="21"/>
                <w:szCs w:val="21"/>
                <w:highlight w:val="none"/>
                <w:vertAlign w:val="baseline"/>
                <w:lang w:val="en-US" w:eastAsia="zh-CN"/>
              </w:rPr>
              <w:drawing>
                <wp:inline distT="0" distB="0" distL="114300" distR="114300">
                  <wp:extent cx="2454275" cy="1840865"/>
                  <wp:effectExtent l="0" t="0" r="14605" b="3175"/>
                  <wp:docPr id="113" name="图片 113" descr="C:/Users/Administrator/AppData/Local/Temp/picturecompress_20210930180217/output_51.jpgoutput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Administrator/AppData/Local/Temp/picturecompress_20210930180217/output_51.jpgoutput_51"/>
                          <pic:cNvPicPr>
                            <a:picLocks noChangeAspect="1"/>
                          </pic:cNvPicPr>
                        </pic:nvPicPr>
                        <pic:blipFill>
                          <a:blip r:embed="rId71"/>
                          <a:stretch>
                            <a:fillRect/>
                          </a:stretch>
                        </pic:blipFill>
                        <pic:spPr>
                          <a:xfrm>
                            <a:off x="0" y="0"/>
                            <a:ext cx="2454275" cy="1840865"/>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泵下方地面水泥硬化防渗</w:t>
            </w:r>
            <w:r>
              <w:rPr>
                <w:rFonts w:hint="default" w:ascii="Times New Roman" w:hAnsi="Times New Roman" w:cs="Times New Roman"/>
                <w:sz w:val="21"/>
                <w:szCs w:val="21"/>
                <w:highlight w:val="none"/>
                <w:vertAlign w:val="baseline"/>
                <w:lang w:val="en-US" w:eastAsia="zh-CN"/>
              </w:rPr>
              <w:t>，</w:t>
            </w:r>
            <w:r>
              <w:rPr>
                <w:rFonts w:hint="eastAsia" w:ascii="Times New Roman" w:hAnsi="Times New Roman" w:cs="Times New Roman"/>
                <w:sz w:val="21"/>
                <w:szCs w:val="21"/>
                <w:highlight w:val="none"/>
                <w:vertAlign w:val="baseline"/>
                <w:lang w:val="en-US" w:eastAsia="zh-CN"/>
              </w:rPr>
              <w:t>建有离地基座，</w:t>
            </w:r>
            <w:r>
              <w:rPr>
                <w:rFonts w:hint="default" w:ascii="Times New Roman" w:hAnsi="Times New Roman" w:cs="Times New Roman"/>
                <w:sz w:val="21"/>
                <w:szCs w:val="21"/>
                <w:highlight w:val="none"/>
                <w:vertAlign w:val="baseline"/>
                <w:lang w:val="en-US" w:eastAsia="zh-CN"/>
              </w:rPr>
              <w:t>原料混合区域设置围堰</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可控状态</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无</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i w:val="0"/>
                <w:iCs w:val="0"/>
                <w:color w:val="000000"/>
                <w:sz w:val="21"/>
                <w:szCs w:val="21"/>
                <w:highlight w:val="none"/>
                <w:u w:val="none"/>
                <w:lang w:val="en-US" w:eastAsia="zh-CN"/>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7</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货物的储存和运输</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cs="Times New Roman"/>
                <w:sz w:val="21"/>
                <w:szCs w:val="21"/>
                <w:lang w:val="en-US" w:eastAsia="zh-CN"/>
              </w:rPr>
              <w:t>成品仓库</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E:114.122307°</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N:36.104593</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lang w:val="en-US" w:eastAsia="zh-CN" w:bidi="ar-SA"/>
              </w:rPr>
            </w:pPr>
            <w:r>
              <w:rPr>
                <w:rFonts w:hint="default" w:ascii="Times New Roman" w:hAnsi="Times New Roman" w:eastAsia="宋体" w:cs="Times New Roman"/>
                <w:sz w:val="21"/>
                <w:szCs w:val="21"/>
                <w:lang w:eastAsia="zh-CN"/>
              </w:rPr>
              <w:drawing>
                <wp:inline distT="0" distB="0" distL="114300" distR="114300">
                  <wp:extent cx="2449830" cy="2186305"/>
                  <wp:effectExtent l="0" t="0" r="3810" b="8255"/>
                  <wp:docPr id="114" name="图片 114" descr="C:/Users/Administrator/AppData/Local/Temp/picturecompress_20210930180217/output_52.jpgoutput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Administrator/AppData/Local/Temp/picturecompress_20210930180217/output_52.jpgoutput_52"/>
                          <pic:cNvPicPr>
                            <a:picLocks noChangeAspect="1"/>
                          </pic:cNvPicPr>
                        </pic:nvPicPr>
                        <pic:blipFill>
                          <a:blip r:embed="rId72"/>
                          <a:stretch>
                            <a:fillRect/>
                          </a:stretch>
                        </pic:blipFill>
                        <pic:spPr>
                          <a:xfrm>
                            <a:off x="0" y="0"/>
                            <a:ext cx="2449830" cy="2186305"/>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仓库地面做水泥硬化处理，布置规范，工人定期检查，操作规范，及时清扫遗漏货物，对土壤污染影响极小</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可控状态</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无</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8</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eastAsiaTheme="minorEastAsia"/>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生产区</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生产装置</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E:114.120268°</w:t>
            </w:r>
          </w:p>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N:36.103670</w:t>
            </w:r>
            <w:r>
              <w:rPr>
                <w:rFonts w:hint="default" w:ascii="Times New Roman" w:hAnsi="Times New Roman" w:cs="Times New Roman"/>
                <w:sz w:val="21"/>
                <w:szCs w:val="21"/>
                <w:lang w:val="en-US" w:eastAsia="zh-CN"/>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highlight w:val="none"/>
                <w:lang w:eastAsia="zh-CN"/>
              </w:rPr>
              <w:drawing>
                <wp:inline distT="0" distB="0" distL="114300" distR="114300">
                  <wp:extent cx="2383790" cy="2083435"/>
                  <wp:effectExtent l="0" t="0" r="8890" b="4445"/>
                  <wp:docPr id="115" name="图片 115" descr="C:/Users/Administrator/AppData/Local/Temp/picturecompress_20210930180217/output_53.jpgoutput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Administrator/AppData/Local/Temp/picturecompress_20210930180217/output_53.jpgoutput_53"/>
                          <pic:cNvPicPr>
                            <a:picLocks noChangeAspect="1"/>
                          </pic:cNvPicPr>
                        </pic:nvPicPr>
                        <pic:blipFill>
                          <a:blip r:embed="rId73"/>
                          <a:srcRect/>
                          <a:stretch>
                            <a:fillRect/>
                          </a:stretch>
                        </pic:blipFill>
                        <pic:spPr>
                          <a:xfrm>
                            <a:off x="0" y="0"/>
                            <a:ext cx="2383790" cy="2083435"/>
                          </a:xfrm>
                          <a:prstGeom prst="rect">
                            <a:avLst/>
                          </a:prstGeom>
                        </pic:spPr>
                      </pic:pic>
                    </a:graphicData>
                  </a:graphic>
                </wp:inline>
              </w:drawing>
            </w:r>
          </w:p>
        </w:tc>
        <w:tc>
          <w:tcPr>
            <w:tcW w:w="791" w:type="pct"/>
            <w:shd w:val="clear" w:color="auto" w:fill="auto"/>
            <w:noWrap/>
            <w:vAlign w:val="center"/>
          </w:tcPr>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w:t>
            </w:r>
            <w:r>
              <w:rPr>
                <w:rFonts w:hint="eastAsia" w:ascii="Times New Roman" w:hAnsi="Times New Roman" w:eastAsia="宋体" w:cs="Times New Roman"/>
                <w:sz w:val="21"/>
                <w:szCs w:val="21"/>
                <w:highlight w:val="none"/>
                <w:vertAlign w:val="baseline"/>
                <w:lang w:val="en-US" w:eastAsia="zh-CN"/>
              </w:rPr>
              <w:t>密闭生产</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2、</w:t>
            </w:r>
            <w:r>
              <w:rPr>
                <w:rFonts w:hint="default" w:ascii="Times New Roman" w:hAnsi="Times New Roman" w:eastAsia="宋体" w:cs="Times New Roman"/>
                <w:sz w:val="21"/>
                <w:szCs w:val="21"/>
                <w:highlight w:val="none"/>
                <w:vertAlign w:val="baseline"/>
                <w:lang w:val="en-US" w:eastAsia="zh-CN"/>
              </w:rPr>
              <w:t>地面</w:t>
            </w:r>
            <w:r>
              <w:rPr>
                <w:rFonts w:hint="eastAsia" w:ascii="Times New Roman" w:hAnsi="Times New Roman" w:cs="Times New Roman"/>
                <w:sz w:val="21"/>
                <w:szCs w:val="21"/>
                <w:highlight w:val="none"/>
                <w:vertAlign w:val="baseline"/>
                <w:lang w:val="en-US" w:eastAsia="zh-CN"/>
              </w:rPr>
              <w:t>水泥硬化</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rPr>
                <w:rFonts w:hint="default" w:ascii="Times New Roman" w:hAnsi="Times New Roman"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3</w:t>
            </w:r>
            <w:r>
              <w:rPr>
                <w:rFonts w:hint="default" w:ascii="Times New Roman" w:hAnsi="Times New Roman" w:eastAsia="宋体" w:cs="Times New Roman"/>
                <w:sz w:val="21"/>
                <w:szCs w:val="21"/>
                <w:highlight w:val="none"/>
                <w:vertAlign w:val="baseline"/>
                <w:lang w:val="en-US" w:eastAsia="zh-CN"/>
              </w:rPr>
              <w:t>、</w:t>
            </w:r>
            <w:r>
              <w:rPr>
                <w:rFonts w:hint="default" w:ascii="Times New Roman" w:hAnsi="Times New Roman" w:cs="Times New Roman"/>
                <w:sz w:val="21"/>
                <w:szCs w:val="21"/>
                <w:highlight w:val="none"/>
                <w:vertAlign w:val="baseline"/>
                <w:lang w:val="en-US" w:eastAsia="zh-CN"/>
              </w:rPr>
              <w:t>设置围堰</w:t>
            </w:r>
          </w:p>
          <w:p>
            <w:pPr>
              <w:keepNext w:val="0"/>
              <w:keepLines w:val="0"/>
              <w:pageBreakBefore w:val="0"/>
              <w:widowControl/>
              <w:suppressLineNumbers w:val="0"/>
              <w:kinsoku/>
              <w:wordWrap/>
              <w:overflowPunct/>
              <w:topLinePunct w:val="0"/>
              <w:autoSpaceDE/>
              <w:autoSpaceDN/>
              <w:bidi w:val="0"/>
              <w:spacing w:line="240" w:lineRule="auto"/>
              <w:ind w:left="210" w:hanging="210" w:hangingChars="100"/>
              <w:jc w:val="left"/>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sz w:val="21"/>
                <w:szCs w:val="21"/>
                <w:highlight w:val="none"/>
                <w:vertAlign w:val="baseline"/>
                <w:lang w:val="en-US" w:eastAsia="zh-CN"/>
              </w:rPr>
              <w:t>4、设有导流槽等溢流收集装置</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可控状态</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无</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8" w:hRule="atLeast"/>
        </w:trPr>
        <w:tc>
          <w:tcPr>
            <w:tcW w:w="169"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cs="Times New Roman"/>
                <w:i w:val="0"/>
                <w:iCs w:val="0"/>
                <w:color w:val="000000"/>
                <w:kern w:val="2"/>
                <w:sz w:val="21"/>
                <w:szCs w:val="21"/>
                <w:highlight w:val="none"/>
                <w:u w:val="none"/>
                <w:lang w:val="en-US" w:eastAsia="zh-CN" w:bidi="ar-SA"/>
              </w:rPr>
              <w:t>9</w:t>
            </w:r>
          </w:p>
        </w:tc>
        <w:tc>
          <w:tcPr>
            <w:tcW w:w="248"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危险废物暂存</w:t>
            </w:r>
          </w:p>
        </w:tc>
        <w:tc>
          <w:tcPr>
            <w:tcW w:w="313"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危险废物暂存间</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w:t>
            </w:r>
          </w:p>
        </w:tc>
        <w:tc>
          <w:tcPr>
            <w:tcW w:w="138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2409190" cy="1806575"/>
                  <wp:effectExtent l="0" t="0" r="13970" b="6985"/>
                  <wp:docPr id="116" name="图片 116" descr="C:/Users/Administrator/AppData/Local/Temp/picturecompress_20210930180217/output_54.jpgoutput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strator/AppData/Local/Temp/picturecompress_20210930180217/output_54.jpgoutput_54"/>
                          <pic:cNvPicPr>
                            <a:picLocks noChangeAspect="1"/>
                          </pic:cNvPicPr>
                        </pic:nvPicPr>
                        <pic:blipFill>
                          <a:blip r:embed="rId74"/>
                          <a:stretch>
                            <a:fillRect/>
                          </a:stretch>
                        </pic:blipFill>
                        <pic:spPr>
                          <a:xfrm>
                            <a:off x="0" y="0"/>
                            <a:ext cx="2409190" cy="1806575"/>
                          </a:xfrm>
                          <a:prstGeom prst="rect">
                            <a:avLst/>
                          </a:prstGeom>
                        </pic:spPr>
                      </pic:pic>
                    </a:graphicData>
                  </a:graphic>
                </wp:inline>
              </w:drawing>
            </w:r>
          </w:p>
        </w:tc>
        <w:tc>
          <w:tcPr>
            <w:tcW w:w="791"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0"/>
                <w:sz w:val="21"/>
                <w:szCs w:val="21"/>
                <w:highlight w:val="none"/>
                <w:u w:val="none"/>
                <w:lang w:val="en-US" w:eastAsia="zh-CN" w:bidi="ar"/>
              </w:rPr>
              <w:t>项目目前处于停产状态，暂不产生危废，危废储存间已拆除，待恢复生产之后，重新构建危废储存间。</w:t>
            </w:r>
          </w:p>
        </w:tc>
        <w:tc>
          <w:tcPr>
            <w:tcW w:w="67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可控状态</w:t>
            </w:r>
          </w:p>
        </w:tc>
        <w:tc>
          <w:tcPr>
            <w:tcW w:w="577"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无</w:t>
            </w:r>
          </w:p>
        </w:tc>
        <w:tc>
          <w:tcPr>
            <w:tcW w:w="304"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sz w:val="21"/>
                <w:szCs w:val="21"/>
                <w:highlight w:val="none"/>
                <w:u w:val="none"/>
                <w:lang w:val="en-US" w:eastAsia="zh-CN"/>
              </w:rPr>
              <w:t>/</w:t>
            </w:r>
          </w:p>
        </w:tc>
      </w:tr>
    </w:tbl>
    <w:p>
      <w:pPr>
        <w:rPr>
          <w:rFonts w:hint="default"/>
          <w:lang w:val="en-US" w:eastAsia="zh-CN"/>
        </w:rPr>
        <w:sectPr>
          <w:pgSz w:w="16838" w:h="11905" w:orient="landscape"/>
          <w:pgMar w:top="1134" w:right="1134" w:bottom="1134" w:left="1134"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p>
      <w:pPr>
        <w:pStyle w:val="5"/>
        <w:keepNext/>
        <w:keepLines/>
        <w:pageBreakBefore w:val="0"/>
        <w:widowControl/>
        <w:kinsoku/>
        <w:wordWrap/>
        <w:overflowPunct/>
        <w:topLinePunct w:val="0"/>
        <w:autoSpaceDE/>
        <w:autoSpaceDN/>
        <w:bidi w:val="0"/>
        <w:adjustRightInd w:val="0"/>
        <w:snapToGrid w:val="0"/>
        <w:spacing w:before="181" w:beforeLines="50" w:after="181" w:afterLines="50"/>
        <w:jc w:val="center"/>
        <w:textAlignment w:val="auto"/>
        <w:rPr>
          <w:rFonts w:hint="default" w:ascii="Times New Roman" w:hAnsi="Times New Roman" w:cs="Times New Roman"/>
          <w:sz w:val="32"/>
          <w:szCs w:val="32"/>
          <w:highlight w:val="none"/>
        </w:rPr>
      </w:pPr>
      <w:bookmarkStart w:id="64" w:name="_Toc9622"/>
      <w:r>
        <w:rPr>
          <w:rFonts w:hint="default" w:ascii="Times New Roman" w:hAnsi="Times New Roman" w:cs="Times New Roman"/>
          <w:sz w:val="32"/>
          <w:szCs w:val="32"/>
          <w:highlight w:val="none"/>
          <w:lang w:val="en-US" w:eastAsia="zh-CN"/>
        </w:rPr>
        <w:t>5</w:t>
      </w:r>
      <w:r>
        <w:rPr>
          <w:rFonts w:hint="default" w:ascii="Times New Roman" w:hAnsi="Times New Roman" w:cs="Times New Roman"/>
          <w:sz w:val="32"/>
          <w:szCs w:val="32"/>
          <w:highlight w:val="none"/>
        </w:rPr>
        <w:t>、</w:t>
      </w:r>
      <w:bookmarkEnd w:id="62"/>
      <w:bookmarkEnd w:id="63"/>
      <w:r>
        <w:rPr>
          <w:rFonts w:hint="default" w:ascii="Times New Roman" w:hAnsi="Times New Roman" w:cs="Times New Roman"/>
          <w:sz w:val="32"/>
          <w:szCs w:val="32"/>
          <w:highlight w:val="none"/>
        </w:rPr>
        <w:t>结论和建议</w:t>
      </w:r>
      <w:bookmarkEnd w:id="64"/>
    </w:p>
    <w:p>
      <w:pPr>
        <w:keepNext/>
        <w:keepLines/>
        <w:pageBreakBefore w:val="0"/>
        <w:widowControl/>
        <w:kinsoku/>
        <w:wordWrap/>
        <w:overflowPunct/>
        <w:topLinePunct w:val="0"/>
        <w:autoSpaceDE/>
        <w:autoSpaceDN/>
        <w:bidi w:val="0"/>
        <w:adjustRightInd w:val="0"/>
        <w:snapToGrid w:val="0"/>
        <w:spacing w:line="360" w:lineRule="auto"/>
        <w:ind w:firstLine="0" w:firstLineChars="0"/>
        <w:jc w:val="both"/>
        <w:textAlignment w:val="auto"/>
        <w:outlineLvl w:val="1"/>
        <w:rPr>
          <w:rFonts w:hint="default" w:ascii="Times New Roman" w:hAnsi="Times New Roman" w:eastAsia="宋体" w:cs="Times New Roman"/>
          <w:b/>
          <w:bCs/>
          <w:kern w:val="2"/>
          <w:sz w:val="30"/>
          <w:szCs w:val="30"/>
          <w:highlight w:val="none"/>
          <w:lang w:val="en-US" w:eastAsia="zh-CN" w:bidi="ar-SA"/>
        </w:rPr>
      </w:pPr>
      <w:bookmarkStart w:id="65" w:name="_Toc26048"/>
      <w:bookmarkStart w:id="66" w:name="_Toc25588"/>
      <w:bookmarkStart w:id="67" w:name="_Toc18467"/>
      <w:r>
        <w:rPr>
          <w:rFonts w:hint="default" w:ascii="Times New Roman" w:hAnsi="Times New Roman" w:eastAsia="宋体" w:cs="Times New Roman"/>
          <w:b/>
          <w:bCs/>
          <w:kern w:val="2"/>
          <w:sz w:val="30"/>
          <w:szCs w:val="30"/>
          <w:highlight w:val="none"/>
          <w:lang w:val="en-US" w:eastAsia="zh-CN" w:bidi="ar-SA"/>
        </w:rPr>
        <w:t xml:space="preserve">5.1 </w:t>
      </w:r>
      <w:bookmarkEnd w:id="65"/>
      <w:bookmarkEnd w:id="66"/>
      <w:r>
        <w:rPr>
          <w:rFonts w:hint="default" w:ascii="Times New Roman" w:hAnsi="Times New Roman" w:eastAsia="宋体" w:cs="Times New Roman"/>
          <w:b/>
          <w:bCs/>
          <w:kern w:val="2"/>
          <w:sz w:val="30"/>
          <w:szCs w:val="30"/>
          <w:highlight w:val="none"/>
          <w:lang w:val="en-US" w:eastAsia="zh-CN" w:bidi="ar-SA"/>
        </w:rPr>
        <w:t>隐患排查结论</w:t>
      </w:r>
      <w:bookmarkEnd w:id="67"/>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本次土壤污染隐患排查工作，主要对</w:t>
      </w:r>
      <w:r>
        <w:rPr>
          <w:rFonts w:hint="default" w:ascii="Times New Roman" w:hAnsi="Times New Roman" w:eastAsia="宋体" w:cs="Times New Roman"/>
          <w:kern w:val="0"/>
          <w:sz w:val="28"/>
          <w:szCs w:val="28"/>
          <w:highlight w:val="none"/>
        </w:rPr>
        <w:t>储罐类、</w:t>
      </w:r>
      <w:r>
        <w:rPr>
          <w:rFonts w:hint="default" w:ascii="Times New Roman" w:hAnsi="Times New Roman" w:cs="Times New Roman"/>
          <w:color w:val="auto"/>
          <w:sz w:val="28"/>
          <w:szCs w:val="28"/>
          <w:highlight w:val="none"/>
        </w:rPr>
        <w:t>储存坑/塘</w:t>
      </w:r>
      <w:r>
        <w:rPr>
          <w:rFonts w:hint="default" w:ascii="Times New Roman" w:hAnsi="Times New Roman" w:eastAsia="宋体" w:cs="Times New Roman"/>
          <w:kern w:val="0"/>
          <w:sz w:val="28"/>
          <w:szCs w:val="28"/>
          <w:highlight w:val="none"/>
        </w:rPr>
        <w:t>、管道输送、泵传输、</w:t>
      </w:r>
      <w:r>
        <w:rPr>
          <w:rFonts w:hint="default" w:ascii="Times New Roman" w:hAnsi="Times New Roman" w:cs="Times New Roman"/>
          <w:sz w:val="28"/>
          <w:szCs w:val="28"/>
          <w:highlight w:val="none"/>
        </w:rPr>
        <w:t>散装</w:t>
      </w:r>
      <w:r>
        <w:rPr>
          <w:rFonts w:hint="eastAsia" w:ascii="Times New Roman" w:hAnsi="Times New Roman" w:cs="Times New Roman"/>
          <w:sz w:val="28"/>
          <w:szCs w:val="28"/>
          <w:highlight w:val="none"/>
          <w:lang w:val="en-US" w:eastAsia="zh-CN"/>
        </w:rPr>
        <w:t>货物</w:t>
      </w:r>
      <w:r>
        <w:rPr>
          <w:rFonts w:hint="default" w:ascii="Times New Roman" w:hAnsi="Times New Roman" w:cs="Times New Roman"/>
          <w:sz w:val="28"/>
          <w:szCs w:val="28"/>
          <w:highlight w:val="none"/>
        </w:rPr>
        <w:t>的存储与运输</w:t>
      </w:r>
      <w:r>
        <w:rPr>
          <w:rFonts w:hint="eastAsia" w:ascii="Times New Roman" w:hAnsi="Times New Roman" w:eastAsia="宋体" w:cs="Times New Roman"/>
          <w:kern w:val="0"/>
          <w:sz w:val="28"/>
          <w:szCs w:val="28"/>
          <w:highlight w:val="none"/>
          <w:lang w:eastAsia="zh-CN"/>
        </w:rPr>
        <w:t>、</w:t>
      </w:r>
      <w:r>
        <w:rPr>
          <w:rFonts w:hint="eastAsia" w:ascii="Times New Roman" w:hAnsi="Times New Roman" w:eastAsia="宋体" w:cs="Times New Roman"/>
          <w:kern w:val="0"/>
          <w:sz w:val="28"/>
          <w:szCs w:val="28"/>
          <w:highlight w:val="none"/>
          <w:lang w:val="en-US" w:eastAsia="zh-CN"/>
        </w:rPr>
        <w:t>生产区、</w:t>
      </w:r>
      <w:r>
        <w:rPr>
          <w:rFonts w:hint="default" w:ascii="Times New Roman" w:hAnsi="Times New Roman" w:eastAsia="宋体" w:cs="Times New Roman"/>
          <w:kern w:val="0"/>
          <w:sz w:val="28"/>
          <w:szCs w:val="28"/>
          <w:highlight w:val="none"/>
        </w:rPr>
        <w:t>固体废物处理与堆存等方面</w:t>
      </w:r>
      <w:r>
        <w:rPr>
          <w:rFonts w:hint="default" w:ascii="Times New Roman" w:hAnsi="Times New Roman" w:eastAsia="宋体" w:cs="Times New Roman"/>
          <w:kern w:val="0"/>
          <w:sz w:val="28"/>
          <w:szCs w:val="28"/>
          <w:highlight w:val="none"/>
          <w:lang w:eastAsia="zh-CN"/>
        </w:rPr>
        <w:t>进行排查。</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eastAsia" w:ascii="Times New Roman" w:hAnsi="Times New Roman" w:cs="Times New Roman"/>
          <w:kern w:val="0"/>
          <w:sz w:val="28"/>
          <w:szCs w:val="28"/>
          <w:highlight w:val="none"/>
          <w:lang w:val="en-US" w:eastAsia="zh-CN"/>
        </w:rPr>
        <w:t>安阳九久化学科技有限公司</w:t>
      </w:r>
      <w:r>
        <w:rPr>
          <w:rFonts w:hint="default" w:ascii="Times New Roman" w:hAnsi="Times New Roman" w:eastAsia="宋体" w:cs="Times New Roman"/>
          <w:kern w:val="0"/>
          <w:sz w:val="28"/>
          <w:szCs w:val="28"/>
          <w:highlight w:val="none"/>
          <w:lang w:val="en-US" w:eastAsia="zh-CN"/>
        </w:rPr>
        <w:t>的厂区内路面除绿化部分及闲置空地，其余全部采用水泥进行硬化。</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5.1.1液体储存区域：</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eastAsia="zh-CN"/>
        </w:rPr>
      </w:pPr>
      <w:r>
        <w:rPr>
          <w:rFonts w:hint="default" w:ascii="Times New Roman" w:hAnsi="Times New Roman" w:eastAsia="宋体" w:cs="Times New Roman"/>
          <w:kern w:val="0"/>
          <w:sz w:val="28"/>
          <w:szCs w:val="28"/>
          <w:highlight w:val="none"/>
          <w:lang w:eastAsia="zh-CN"/>
        </w:rPr>
        <w:t>企业生产用的离地储罐</w:t>
      </w:r>
      <w:r>
        <w:rPr>
          <w:rFonts w:hint="default" w:ascii="Times New Roman" w:hAnsi="Times New Roman" w:eastAsia="宋体" w:cs="Times New Roman"/>
          <w:kern w:val="0"/>
          <w:sz w:val="28"/>
          <w:szCs w:val="28"/>
          <w:highlight w:val="none"/>
        </w:rPr>
        <w:t>密闭性良好</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kern w:val="0"/>
          <w:sz w:val="28"/>
          <w:szCs w:val="28"/>
          <w:highlight w:val="none"/>
        </w:rPr>
        <w:t>进料口、出料口、法兰、排尽口、基槽不存在滴漏现象</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kern w:val="0"/>
          <w:sz w:val="28"/>
          <w:szCs w:val="28"/>
          <w:highlight w:val="none"/>
          <w:lang w:val="en-US" w:eastAsia="zh-CN"/>
        </w:rPr>
        <w:t>同时槽体周围设置有围堰，防渗地面无裂纹，且装有液位</w:t>
      </w:r>
      <w:r>
        <w:rPr>
          <w:rFonts w:hint="eastAsia" w:ascii="Times New Roman" w:hAnsi="Times New Roman" w:eastAsia="宋体" w:cs="Times New Roman"/>
          <w:kern w:val="0"/>
          <w:sz w:val="28"/>
          <w:szCs w:val="28"/>
          <w:highlight w:val="none"/>
          <w:lang w:val="en-US" w:eastAsia="zh-CN"/>
        </w:rPr>
        <w:t>显示器</w:t>
      </w:r>
      <w:r>
        <w:rPr>
          <w:rFonts w:hint="default" w:ascii="Times New Roman" w:hAnsi="Times New Roman" w:eastAsia="宋体" w:cs="Times New Roman"/>
          <w:kern w:val="0"/>
          <w:sz w:val="28"/>
          <w:szCs w:val="28"/>
          <w:highlight w:val="none"/>
          <w:lang w:val="en-US" w:eastAsia="zh-CN"/>
        </w:rPr>
        <w:t>装置。</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eastAsia="zh-CN"/>
        </w:rPr>
      </w:pPr>
      <w:r>
        <w:rPr>
          <w:rFonts w:hint="eastAsia" w:ascii="Times New Roman" w:hAnsi="Times New Roman" w:eastAsia="宋体" w:cs="Times New Roman"/>
          <w:kern w:val="0"/>
          <w:sz w:val="28"/>
          <w:szCs w:val="28"/>
          <w:highlight w:val="none"/>
          <w:lang w:val="en-US" w:eastAsia="zh-CN"/>
        </w:rPr>
        <w:t>企业</w:t>
      </w:r>
      <w:r>
        <w:rPr>
          <w:rFonts w:hint="default" w:ascii="Times New Roman" w:hAnsi="Times New Roman" w:cs="Times New Roman"/>
          <w:color w:val="auto"/>
          <w:kern w:val="2"/>
          <w:sz w:val="28"/>
          <w:szCs w:val="28"/>
          <w:highlight w:val="none"/>
        </w:rPr>
        <w:t>储存坑/塘</w:t>
      </w:r>
      <w:r>
        <w:rPr>
          <w:rFonts w:hint="eastAsia" w:ascii="Times New Roman" w:hAnsi="Times New Roman" w:cs="Times New Roman"/>
          <w:color w:val="auto"/>
          <w:kern w:val="2"/>
          <w:sz w:val="28"/>
          <w:szCs w:val="28"/>
          <w:highlight w:val="none"/>
          <w:lang w:val="en-US" w:eastAsia="zh-CN"/>
        </w:rPr>
        <w:t>主要为地下事故池。</w:t>
      </w:r>
      <w:r>
        <w:rPr>
          <w:rFonts w:hint="default" w:ascii="Times New Roman" w:hAnsi="Times New Roman" w:eastAsia="宋体" w:cs="Times New Roman"/>
          <w:kern w:val="0"/>
          <w:sz w:val="28"/>
          <w:szCs w:val="28"/>
          <w:highlight w:val="none"/>
        </w:rPr>
        <w:t>储存坑均做有防渗漏、防腐蚀、防流失措施，同时内部进行了水泥硬化、防腐涂层</w:t>
      </w:r>
      <w:r>
        <w:rPr>
          <w:rFonts w:hint="default" w:ascii="Times New Roman" w:hAnsi="Times New Roman" w:eastAsia="宋体" w:cs="Times New Roman"/>
          <w:kern w:val="0"/>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5.1.2散装液体转运与厂内运输：</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rPr>
      </w:pPr>
      <w:r>
        <w:rPr>
          <w:rFonts w:hint="default" w:ascii="Times New Roman" w:hAnsi="Times New Roman" w:eastAsia="宋体" w:cs="Times New Roman"/>
          <w:kern w:val="0"/>
          <w:sz w:val="28"/>
          <w:szCs w:val="28"/>
          <w:highlight w:val="none"/>
          <w:lang w:val="en-US" w:eastAsia="zh-CN"/>
        </w:rPr>
        <w:t>项目</w:t>
      </w:r>
      <w:r>
        <w:rPr>
          <w:rFonts w:hint="default" w:ascii="Times New Roman" w:hAnsi="Times New Roman" w:eastAsia="宋体" w:cs="Times New Roman"/>
          <w:kern w:val="0"/>
          <w:sz w:val="28"/>
          <w:szCs w:val="28"/>
          <w:highlight w:val="none"/>
          <w:lang w:eastAsia="zh-CN"/>
        </w:rPr>
        <w:t>内</w:t>
      </w:r>
      <w:r>
        <w:rPr>
          <w:rFonts w:hint="default" w:ascii="Times New Roman" w:hAnsi="Times New Roman" w:eastAsia="宋体" w:cs="Times New Roman"/>
          <w:kern w:val="0"/>
          <w:sz w:val="28"/>
          <w:szCs w:val="28"/>
          <w:highlight w:val="none"/>
        </w:rPr>
        <w:t>罐区地面</w:t>
      </w:r>
      <w:r>
        <w:rPr>
          <w:rFonts w:hint="default" w:ascii="Times New Roman" w:hAnsi="Times New Roman" w:eastAsia="宋体" w:cs="Times New Roman"/>
          <w:kern w:val="0"/>
          <w:sz w:val="28"/>
          <w:szCs w:val="28"/>
          <w:highlight w:val="none"/>
          <w:lang w:eastAsia="zh-CN"/>
        </w:rPr>
        <w:t>均</w:t>
      </w:r>
      <w:r>
        <w:rPr>
          <w:rFonts w:hint="default" w:ascii="Times New Roman" w:hAnsi="Times New Roman" w:eastAsia="宋体" w:cs="Times New Roman"/>
          <w:kern w:val="0"/>
          <w:sz w:val="28"/>
          <w:szCs w:val="28"/>
          <w:highlight w:val="none"/>
        </w:rPr>
        <w:t>采用水泥硬化和严格防渗措施，罐区周围设置具有强防渗性围堰和</w:t>
      </w:r>
      <w:r>
        <w:rPr>
          <w:rFonts w:hint="eastAsia" w:ascii="Times New Roman" w:hAnsi="Times New Roman" w:eastAsia="宋体" w:cs="Times New Roman"/>
          <w:kern w:val="0"/>
          <w:sz w:val="28"/>
          <w:szCs w:val="28"/>
          <w:highlight w:val="none"/>
          <w:lang w:val="en-US" w:eastAsia="zh-CN"/>
        </w:rPr>
        <w:t>导流槽</w:t>
      </w:r>
      <w:r>
        <w:rPr>
          <w:rFonts w:hint="eastAsia" w:ascii="Times New Roman" w:hAnsi="Times New Roman" w:eastAsia="宋体" w:cs="Times New Roman"/>
          <w:kern w:val="0"/>
          <w:sz w:val="28"/>
          <w:szCs w:val="28"/>
          <w:highlight w:val="none"/>
          <w:lang w:eastAsia="zh-CN"/>
        </w:rPr>
        <w:t>，</w:t>
      </w:r>
      <w:r>
        <w:rPr>
          <w:rFonts w:hint="eastAsia" w:ascii="Times New Roman" w:hAnsi="Times New Roman" w:eastAsia="宋体" w:cs="Times New Roman"/>
          <w:kern w:val="0"/>
          <w:sz w:val="28"/>
          <w:szCs w:val="28"/>
          <w:highlight w:val="none"/>
          <w:lang w:val="en-US" w:eastAsia="zh-CN"/>
        </w:rPr>
        <w:t>若产生泄露，废水能够及时有效的收集并</w:t>
      </w:r>
      <w:r>
        <w:rPr>
          <w:rFonts w:hint="default" w:ascii="Times New Roman" w:hAnsi="Times New Roman" w:eastAsia="宋体" w:cs="Times New Roman"/>
          <w:kern w:val="0"/>
          <w:sz w:val="28"/>
          <w:szCs w:val="28"/>
          <w:highlight w:val="none"/>
        </w:rPr>
        <w:t>送入废水处理站进行处理；同时有专业人员进行日常管理和维护，并对储罐有紧急事故处置的管理方案。</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项目涉及到的散装液体装卸为盐酸、硫酸、甲醇、二氧化硫</w:t>
      </w:r>
      <w:r>
        <w:rPr>
          <w:rFonts w:hint="eastAsia" w:ascii="Times New Roman" w:hAnsi="Times New Roman" w:eastAsia="宋体" w:cs="Times New Roman"/>
          <w:kern w:val="0"/>
          <w:sz w:val="28"/>
          <w:szCs w:val="28"/>
          <w:highlight w:val="none"/>
          <w:lang w:val="en-US" w:eastAsia="zh-CN"/>
        </w:rPr>
        <w:t>等</w:t>
      </w:r>
      <w:r>
        <w:rPr>
          <w:rFonts w:hint="default" w:ascii="Times New Roman" w:hAnsi="Times New Roman" w:eastAsia="宋体" w:cs="Times New Roman"/>
          <w:kern w:val="0"/>
          <w:sz w:val="28"/>
          <w:szCs w:val="28"/>
          <w:highlight w:val="none"/>
          <w:lang w:val="en-US" w:eastAsia="zh-CN"/>
        </w:rPr>
        <w:t>从罐车里面经过管道直接被打入储罐内，同时地面做有水泥硬化防渗措施和溢流收集装置。</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eastAsia="zh-CN"/>
        </w:rPr>
      </w:pPr>
      <w:r>
        <w:rPr>
          <w:rFonts w:hint="default" w:ascii="Times New Roman" w:hAnsi="Times New Roman" w:eastAsia="宋体" w:cs="Times New Roman"/>
          <w:kern w:val="0"/>
          <w:sz w:val="28"/>
          <w:szCs w:val="28"/>
          <w:highlight w:val="none"/>
          <w:lang w:val="en-US" w:eastAsia="zh-CN"/>
        </w:rPr>
        <w:t>项目</w:t>
      </w:r>
      <w:r>
        <w:rPr>
          <w:rFonts w:hint="default" w:ascii="Times New Roman" w:hAnsi="Times New Roman" w:eastAsia="宋体" w:cs="Times New Roman"/>
          <w:kern w:val="0"/>
          <w:sz w:val="28"/>
          <w:szCs w:val="28"/>
          <w:highlight w:val="none"/>
        </w:rPr>
        <w:t>涉及到液体管道运输的管道都是密闭完好，不存在</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kern w:val="0"/>
          <w:sz w:val="28"/>
          <w:szCs w:val="28"/>
          <w:highlight w:val="none"/>
        </w:rPr>
        <w:t>跑、冒、滴、漏</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kern w:val="0"/>
          <w:sz w:val="28"/>
          <w:szCs w:val="28"/>
          <w:highlight w:val="none"/>
        </w:rPr>
        <w:t>的情况</w:t>
      </w:r>
      <w:r>
        <w:rPr>
          <w:rFonts w:hint="default" w:ascii="Times New Roman" w:hAnsi="Times New Roman" w:eastAsia="宋体" w:cs="Times New Roman"/>
          <w:kern w:val="0"/>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5.1.3货物的储存和传输：</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eastAsia="zh-CN"/>
        </w:rPr>
      </w:pPr>
      <w:r>
        <w:rPr>
          <w:rFonts w:hint="default" w:ascii="Times New Roman" w:hAnsi="Times New Roman" w:eastAsia="宋体" w:cs="Times New Roman"/>
          <w:kern w:val="0"/>
          <w:sz w:val="28"/>
          <w:szCs w:val="28"/>
          <w:highlight w:val="none"/>
          <w:lang w:eastAsia="zh-CN"/>
        </w:rPr>
        <w:t>公司涉及到的散装货物的存储与运输主要为生产产品</w:t>
      </w:r>
      <w:r>
        <w:rPr>
          <w:rFonts w:hint="eastAsia" w:ascii="Times New Roman" w:hAnsi="Times New Roman" w:cs="Times New Roman"/>
          <w:sz w:val="28"/>
          <w:szCs w:val="28"/>
          <w:highlight w:val="none"/>
          <w:lang w:val="en-US" w:eastAsia="zh-CN"/>
        </w:rPr>
        <w:t>合成保险粉。公司建设1处成品库用于储存生产成品保险粉。保险粉的包装方式为罐装，一般采用卡车运输和管道运输。仓库地面均做水泥硬化处理，布置规范，工人定期检查，操作规范，及时清扫遗漏货物，对土壤污染影响极小。</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5.1.4生产区：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rPr>
          <w:rFonts w:hint="default" w:ascii="Times New Roman" w:hAnsi="Times New Roman" w:eastAsia="宋体" w:cs="Times New Roman"/>
          <w:kern w:val="0"/>
          <w:sz w:val="28"/>
          <w:szCs w:val="28"/>
          <w:highlight w:val="none"/>
          <w:lang w:val="en-US" w:eastAsia="zh-CN"/>
        </w:rPr>
      </w:pPr>
      <w:r>
        <w:rPr>
          <w:rFonts w:hint="eastAsia" w:ascii="Times New Roman" w:hAnsi="宋体" w:eastAsia="宋体" w:cs="Times New Roman"/>
          <w:kern w:val="2"/>
          <w:sz w:val="28"/>
          <w:szCs w:val="28"/>
        </w:rPr>
        <w:t>本工程保险粉的生产工艺是以焦亚硫酸钠和二氧化硫为原料，以80%左右的甲醇水溶液作为分散介质，在密闭的搅拌容器内进行合成反应，生成保险粉。</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项目生产涉及的生产装置密闭，均为不锈钢或碳钢制材料，地面均采用混凝土防渗，密闭反应装置均有压力检测，不存在“跑、冒、滴、漏”的现象，</w:t>
      </w:r>
      <w:r>
        <w:rPr>
          <w:rFonts w:hint="default" w:ascii="Times New Roman" w:hAnsi="Times New Roman" w:eastAsia="宋体" w:cs="Times New Roman"/>
          <w:color w:val="auto"/>
          <w:kern w:val="0"/>
          <w:sz w:val="28"/>
          <w:szCs w:val="28"/>
          <w:highlight w:val="none"/>
          <w:lang w:val="en-US" w:eastAsia="zh-CN"/>
        </w:rPr>
        <w:t>员工按照操作规程进行生产，制定有值班表及巡查表，</w:t>
      </w:r>
      <w:r>
        <w:rPr>
          <w:rFonts w:hint="default" w:ascii="Times New Roman" w:hAnsi="Times New Roman" w:eastAsia="宋体" w:cs="Times New Roman"/>
          <w:kern w:val="0"/>
          <w:sz w:val="28"/>
          <w:szCs w:val="28"/>
          <w:highlight w:val="none"/>
        </w:rPr>
        <w:t>定期检查和维护</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color w:val="auto"/>
          <w:kern w:val="0"/>
          <w:sz w:val="28"/>
          <w:szCs w:val="28"/>
          <w:highlight w:val="none"/>
          <w:lang w:val="en-US" w:eastAsia="zh-CN"/>
        </w:rPr>
        <w:t>保障生产活动安全进行</w:t>
      </w:r>
      <w:r>
        <w:rPr>
          <w:rFonts w:hint="default" w:ascii="Times New Roman" w:hAnsi="Times New Roman" w:eastAsia="宋体" w:cs="Times New Roman"/>
          <w:kern w:val="0"/>
          <w:sz w:val="28"/>
          <w:szCs w:val="28"/>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5.1.5其他活动区：</w:t>
      </w:r>
    </w:p>
    <w:p>
      <w:pPr>
        <w:widowControl/>
        <w:adjustRightInd w:val="0"/>
        <w:snapToGrid w:val="0"/>
        <w:spacing w:line="360" w:lineRule="auto"/>
        <w:ind w:firstLine="560" w:firstLineChars="200"/>
        <w:jc w:val="left"/>
        <w:rPr>
          <w:rFonts w:hint="default" w:ascii="Times New Roman" w:hAnsi="Times New Roman" w:eastAsia="宋体" w:cs="Times New Roman"/>
          <w:i w:val="0"/>
          <w:iCs w:val="0"/>
          <w:color w:val="000000"/>
          <w:kern w:val="0"/>
          <w:sz w:val="28"/>
          <w:szCs w:val="28"/>
          <w:u w:val="none"/>
          <w:lang w:val="en-US" w:eastAsia="zh-CN"/>
        </w:rPr>
      </w:pPr>
      <w:r>
        <w:rPr>
          <w:rFonts w:hint="default" w:ascii="Times New Roman" w:hAnsi="Times New Roman" w:eastAsia="宋体" w:cs="Times New Roman"/>
          <w:kern w:val="0"/>
          <w:sz w:val="28"/>
          <w:szCs w:val="28"/>
        </w:rPr>
        <w:t>本次工程废水主要是工艺废水、车间冲洗水及生活废水。焦亚及保险粉装置区废水经自建一套480m</w:t>
      </w:r>
      <w:r>
        <w:rPr>
          <w:rFonts w:hint="default" w:ascii="Times New Roman" w:hAnsi="Times New Roman" w:eastAsia="宋体" w:cs="Times New Roman"/>
          <w:kern w:val="0"/>
          <w:sz w:val="28"/>
          <w:szCs w:val="28"/>
          <w:vertAlign w:val="superscript"/>
        </w:rPr>
        <w:t>3</w:t>
      </w:r>
      <w:r>
        <w:rPr>
          <w:rFonts w:hint="default" w:ascii="Times New Roman" w:hAnsi="Times New Roman" w:eastAsia="宋体" w:cs="Times New Roman"/>
          <w:kern w:val="0"/>
          <w:sz w:val="28"/>
          <w:szCs w:val="28"/>
        </w:rPr>
        <w:t>/d污水处理装置处理后，进入安化终端污水处理厂（安化终端为煤化工水冶片区依托的园区污水处理厂）进一步处理，达标外排。</w:t>
      </w:r>
      <w:r>
        <w:rPr>
          <w:rFonts w:hint="eastAsia" w:ascii="Times New Roman" w:hAnsi="Times New Roman" w:eastAsia="宋体" w:cs="Times New Roman"/>
          <w:i w:val="0"/>
          <w:iCs w:val="0"/>
          <w:color w:val="000000"/>
          <w:kern w:val="0"/>
          <w:sz w:val="28"/>
          <w:szCs w:val="28"/>
          <w:u w:val="none"/>
          <w:lang w:val="en-US" w:eastAsia="zh-CN"/>
        </w:rPr>
        <w:t>污水处理池</w:t>
      </w:r>
      <w:r>
        <w:rPr>
          <w:rFonts w:hint="default" w:ascii="Times New Roman" w:hAnsi="Times New Roman" w:eastAsia="宋体" w:cs="Times New Roman"/>
          <w:color w:val="auto"/>
          <w:kern w:val="0"/>
          <w:sz w:val="28"/>
          <w:szCs w:val="28"/>
          <w:highlight w:val="none"/>
          <w:lang w:val="en-US" w:eastAsia="zh-CN"/>
        </w:rPr>
        <w:t>为钢筋混凝土材质，池底及池壁水泥地面硬化，水池内部设置防腐涂层</w:t>
      </w:r>
      <w:r>
        <w:rPr>
          <w:rFonts w:hint="default" w:ascii="Times New Roman" w:hAnsi="Times New Roman" w:eastAsia="宋体" w:cs="Times New Roman"/>
          <w:color w:val="auto"/>
          <w:kern w:val="0"/>
          <w:sz w:val="28"/>
          <w:szCs w:val="28"/>
          <w:highlight w:val="none"/>
          <w:lang w:eastAsia="zh-CN"/>
        </w:rPr>
        <w:t>，职工定期</w:t>
      </w:r>
      <w:r>
        <w:rPr>
          <w:rFonts w:hint="default" w:ascii="Times New Roman" w:hAnsi="Times New Roman" w:eastAsia="宋体" w:cs="Times New Roman"/>
          <w:color w:val="auto"/>
          <w:kern w:val="0"/>
          <w:sz w:val="28"/>
          <w:szCs w:val="28"/>
          <w:highlight w:val="none"/>
          <w:lang w:val="en-US" w:eastAsia="zh-CN"/>
        </w:rPr>
        <w:t>检查。</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kern w:val="0"/>
          <w:sz w:val="28"/>
          <w:szCs w:val="28"/>
          <w:highlight w:val="none"/>
          <w:lang w:val="en-US" w:eastAsia="zh-CN"/>
        </w:rPr>
      </w:pPr>
      <w:r>
        <w:rPr>
          <w:rFonts w:hint="default" w:ascii="Times New Roman" w:hAnsi="Times New Roman" w:cs="Times New Roman"/>
          <w:color w:val="auto"/>
          <w:sz w:val="28"/>
          <w:szCs w:val="28"/>
          <w:highlight w:val="none"/>
          <w:lang w:val="en-US" w:eastAsia="zh-CN"/>
        </w:rPr>
        <w:t>本工程固废主要包括生产过程产生的</w:t>
      </w:r>
      <w:r>
        <w:rPr>
          <w:rFonts w:hint="eastAsia" w:ascii="Times New Roman" w:hAnsi="Times New Roman" w:cs="Times New Roman"/>
          <w:color w:val="auto"/>
          <w:sz w:val="28"/>
          <w:szCs w:val="28"/>
          <w:highlight w:val="none"/>
          <w:lang w:val="en-US" w:eastAsia="zh-CN"/>
        </w:rPr>
        <w:t>废催化剂和</w:t>
      </w:r>
      <w:r>
        <w:rPr>
          <w:rFonts w:hint="default" w:ascii="Times New Roman" w:hAnsi="Times New Roman" w:cs="Times New Roman"/>
          <w:color w:val="auto"/>
          <w:sz w:val="28"/>
          <w:szCs w:val="28"/>
          <w:highlight w:val="none"/>
          <w:lang w:val="en-US" w:eastAsia="zh-CN"/>
        </w:rPr>
        <w:t>工艺废液、污水处理站污泥及废旧包装袋。</w:t>
      </w:r>
      <w:r>
        <w:rPr>
          <w:rFonts w:hint="eastAsia" w:ascii="Times New Roman" w:hAnsi="Times New Roman" w:cs="Times New Roman"/>
          <w:color w:val="auto"/>
          <w:sz w:val="28"/>
          <w:szCs w:val="28"/>
          <w:highlight w:val="none"/>
          <w:lang w:val="en-US" w:eastAsia="zh-CN"/>
        </w:rPr>
        <w:t>①废催化剂：二氧化硫变换生成三氧化硫过程中使用的钒催化剂。此催化剂定期更换，由具有危废处理资质的单位回收；②</w:t>
      </w:r>
      <w:r>
        <w:rPr>
          <w:rFonts w:hint="default" w:ascii="Times New Roman" w:hAnsi="Times New Roman" w:cs="Times New Roman"/>
          <w:color w:val="auto"/>
          <w:sz w:val="28"/>
          <w:szCs w:val="28"/>
          <w:highlight w:val="none"/>
          <w:lang w:val="en-US" w:eastAsia="zh-CN"/>
        </w:rPr>
        <w:t>工艺废液</w:t>
      </w:r>
      <w:r>
        <w:rPr>
          <w:rFonts w:hint="eastAsia" w:ascii="Times New Roman" w:hAnsi="Times New Roman" w:cs="Times New Roman"/>
          <w:color w:val="auto"/>
          <w:sz w:val="28"/>
          <w:szCs w:val="28"/>
          <w:highlight w:val="none"/>
          <w:lang w:val="en-US" w:eastAsia="zh-CN"/>
        </w:rPr>
        <w:t>：保险粉</w:t>
      </w:r>
      <w:r>
        <w:rPr>
          <w:rFonts w:hint="default" w:ascii="Times New Roman" w:hAnsi="Times New Roman" w:cs="Times New Roman"/>
          <w:color w:val="auto"/>
          <w:sz w:val="28"/>
          <w:szCs w:val="28"/>
          <w:highlight w:val="none"/>
          <w:lang w:val="en-US" w:eastAsia="zh-CN"/>
        </w:rPr>
        <w:t>生产过程中，</w:t>
      </w:r>
      <w:r>
        <w:rPr>
          <w:rFonts w:hint="eastAsia" w:ascii="Times New Roman" w:hAnsi="Times New Roman" w:cs="Times New Roman"/>
          <w:color w:val="auto"/>
          <w:sz w:val="28"/>
          <w:szCs w:val="28"/>
          <w:highlight w:val="none"/>
          <w:lang w:val="en-US" w:eastAsia="zh-CN"/>
        </w:rPr>
        <w:t>残液蒸发后产生</w:t>
      </w:r>
      <w:r>
        <w:rPr>
          <w:rFonts w:hint="default" w:ascii="Times New Roman" w:hAnsi="Times New Roman" w:cs="Times New Roman"/>
          <w:color w:val="auto"/>
          <w:sz w:val="28"/>
          <w:szCs w:val="28"/>
          <w:highlight w:val="none"/>
          <w:lang w:val="en-US" w:eastAsia="zh-CN"/>
        </w:rPr>
        <w:t>废液。根据《国家危险废物名录》（HW</w:t>
      </w:r>
      <w:r>
        <w:rPr>
          <w:rFonts w:hint="eastAsia" w:ascii="Times New Roman" w:hAnsi="Times New Roman" w:cs="Times New Roman"/>
          <w:color w:val="auto"/>
          <w:sz w:val="28"/>
          <w:szCs w:val="28"/>
          <w:highlight w:val="none"/>
          <w:lang w:val="en-US" w:eastAsia="zh-CN"/>
        </w:rPr>
        <w:t>11</w:t>
      </w:r>
      <w:r>
        <w:rPr>
          <w:rFonts w:hint="default" w:ascii="Times New Roman" w:hAnsi="Times New Roman" w:cs="Times New Roman"/>
          <w:color w:val="auto"/>
          <w:sz w:val="28"/>
          <w:szCs w:val="28"/>
          <w:highlight w:val="none"/>
          <w:lang w:val="en-US" w:eastAsia="zh-CN"/>
        </w:rPr>
        <w:t>），此废液属于危险废物</w:t>
      </w:r>
      <w:r>
        <w:rPr>
          <w:rFonts w:hint="eastAsia" w:ascii="Times New Roman" w:hAnsi="Times New Roman" w:cs="Times New Roman"/>
          <w:color w:val="auto"/>
          <w:sz w:val="28"/>
          <w:szCs w:val="28"/>
          <w:highlight w:val="none"/>
          <w:lang w:val="en-US" w:eastAsia="zh-CN"/>
        </w:rPr>
        <w:t>。送具有危废处理资质的单位处置；</w:t>
      </w:r>
      <w:r>
        <w:rPr>
          <w:rFonts w:hint="default" w:ascii="Times New Roman" w:hAnsi="Times New Roman" w:cs="Times New Roman"/>
          <w:color w:val="auto"/>
          <w:sz w:val="28"/>
          <w:szCs w:val="28"/>
          <w:highlight w:val="none"/>
          <w:lang w:val="en-US" w:eastAsia="zh-CN"/>
        </w:rPr>
        <w:t>③污水处理站污泥</w:t>
      </w:r>
      <w:r>
        <w:rPr>
          <w:rFonts w:hint="eastAsia"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主要是污水处理过程产生的污泥，</w:t>
      </w:r>
      <w:r>
        <w:rPr>
          <w:rFonts w:hint="eastAsia" w:ascii="Times New Roman" w:hAnsi="Times New Roman" w:cs="Times New Roman"/>
          <w:color w:val="auto"/>
          <w:sz w:val="28"/>
          <w:szCs w:val="28"/>
          <w:highlight w:val="none"/>
          <w:lang w:val="en-US" w:eastAsia="zh-CN"/>
        </w:rPr>
        <w:t>外运填埋；④</w:t>
      </w:r>
      <w:r>
        <w:rPr>
          <w:rFonts w:hint="default" w:ascii="Times New Roman" w:hAnsi="Times New Roman" w:cs="Times New Roman"/>
          <w:color w:val="auto"/>
          <w:sz w:val="28"/>
          <w:szCs w:val="28"/>
          <w:highlight w:val="none"/>
          <w:lang w:val="en-US" w:eastAsia="zh-CN"/>
        </w:rPr>
        <w:t>废旧包装袋</w:t>
      </w:r>
      <w:r>
        <w:rPr>
          <w:rFonts w:hint="eastAsia"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lang w:val="en-US" w:eastAsia="zh-CN"/>
        </w:rPr>
        <w:t>主要是进厂原料的包装袋，产生量约3t/a，由供货单位回收处理。项目</w:t>
      </w:r>
      <w:r>
        <w:rPr>
          <w:rFonts w:hint="eastAsia" w:ascii="Times New Roman" w:hAnsi="Times New Roman" w:cs="Times New Roman"/>
          <w:color w:val="auto"/>
          <w:sz w:val="28"/>
          <w:szCs w:val="28"/>
          <w:highlight w:val="none"/>
          <w:lang w:val="en-US" w:eastAsia="zh-CN"/>
        </w:rPr>
        <w:t>目前处于停产状态，暂不产生危废，危废储存间已拆除，待恢复生产之后，重新构建危废储存间</w:t>
      </w:r>
      <w:r>
        <w:rPr>
          <w:rFonts w:hint="default" w:ascii="Times New Roman" w:hAnsi="Times New Roman" w:cs="Times New Roman"/>
          <w:color w:val="auto"/>
          <w:sz w:val="28"/>
          <w:szCs w:val="28"/>
          <w:highlight w:val="none"/>
          <w:lang w:val="en-US" w:eastAsia="zh-CN"/>
        </w:rPr>
        <w:t>。</w:t>
      </w:r>
    </w:p>
    <w:p>
      <w:pPr>
        <w:keepNext/>
        <w:keepLines/>
        <w:pageBreakBefore w:val="0"/>
        <w:widowControl/>
        <w:kinsoku/>
        <w:wordWrap/>
        <w:overflowPunct/>
        <w:topLinePunct w:val="0"/>
        <w:autoSpaceDE/>
        <w:autoSpaceDN/>
        <w:bidi w:val="0"/>
        <w:adjustRightInd w:val="0"/>
        <w:snapToGrid w:val="0"/>
        <w:spacing w:line="360" w:lineRule="auto"/>
        <w:ind w:firstLine="0" w:firstLineChars="0"/>
        <w:jc w:val="both"/>
        <w:textAlignment w:val="auto"/>
        <w:outlineLvl w:val="1"/>
        <w:rPr>
          <w:rFonts w:hint="default" w:ascii="Times New Roman" w:hAnsi="Times New Roman" w:eastAsia="宋体" w:cs="Times New Roman"/>
          <w:b/>
          <w:bCs/>
          <w:kern w:val="2"/>
          <w:sz w:val="30"/>
          <w:szCs w:val="30"/>
          <w:highlight w:val="none"/>
          <w:lang w:val="en-US" w:eastAsia="zh-CN" w:bidi="ar-SA"/>
        </w:rPr>
      </w:pPr>
      <w:bookmarkStart w:id="68" w:name="_Toc11839"/>
      <w:bookmarkStart w:id="69" w:name="_Toc31672"/>
      <w:bookmarkStart w:id="70" w:name="_Toc14752"/>
      <w:r>
        <w:rPr>
          <w:rFonts w:hint="default" w:ascii="Times New Roman" w:hAnsi="Times New Roman" w:eastAsia="宋体" w:cs="Times New Roman"/>
          <w:b/>
          <w:bCs/>
          <w:kern w:val="2"/>
          <w:sz w:val="30"/>
          <w:szCs w:val="30"/>
          <w:highlight w:val="none"/>
          <w:lang w:val="en-US" w:eastAsia="zh-CN" w:bidi="ar-SA"/>
        </w:rPr>
        <w:t>5.2 隐患整改方案或建议</w:t>
      </w:r>
      <w:bookmarkEnd w:id="68"/>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根据企业的基本情况，现将企业整改措施建议汇总如下：</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一、目前对设备、管道的检查、维护主要由各个生产车间员工进行，未做详细记录，且由于部分员工环保意识不够，关注点不同，因此企业需要定期对员工进行培训、提高员工安全环保意识，让员工了解环保的关注点，在生产过程中多加注意。同时需要加强对厂区日常设备设施以及生产活动进行巡查、监管、维护。</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二、企业监管内容</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1）散装液体存储</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各种储罐和溢流收集装置需安装在具有防渗功能的设施上，并定期开展检查。</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2）散装液体的运输</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装卸点下方需设置不渗漏密闭设施，进料和出料管道出口不外露，溢流安全装置为不渗漏容器。地上管线和下水道必须频繁检查。地下管道必须是双层的，并装备泄漏检测装置。地下管道需具备腐蚀保护和防渗保护，须遵守检查程序，并在发生事故时提供应急预案。应选择防泄漏的泵，若用管道运输液体，需设计在地表，匹配有效的检查程序。对部分尺寸不合适的防滴漏设施进行调整，定期清理防滴漏设施，加强管理，定期维护。</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3）散装和包装物品的存储和运输</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散装物品的储存设施必须有覆盖。转运散装物品应优先选择在封闭环境内进行。储存和转移包装好的液体，须在防渗设施上方进行，经常检查储存的包装并且立即清除任何泄漏。存储和运输液体包装须在液体存储设备上进行，包装必须适合存储。定期检查，若有任何泄漏须即刻清理。</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4）生产及处理</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公司生产须使用防渗存储设施，防渗设施须安装在设备或活动的下方和周围，形成四周有凸起的围堰，并确保具有足够的容纳空间。释放出的污染物必须定期清理。还必须制定针对性的应急程序，发生意外事故时防止出现土壤污染。</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5）其他区域活动</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车间的地面必须能防止液体渗透。设备和机器在使用时，具有不可渗漏的收集和防渗设施，或者安装在不可渗漏的地面上。必须建立有效的设施和程序，以清除物质的溢流和泄漏。</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三、日常巡查</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（1）日常巡查，建立巡查制度，定期检查容器、管道、泵及土壤保护控制设备，一般可以两天一次。日常巡查需要落实到人，并填写日常巡查表。</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（2）专项巡查，对特定生产项目、特定区域或特定材料进行专项巡查，识别泄漏、溢漏的潜在风险。</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3）指导和培训员工以正确方式使用、监督和检查设备，规范检查程序要求。明确相关保护措施检查要点，包括紧急措施使用、清理释放物质和事件报告的培训等。熟练的操作人员能降低生产活动特定监管区域的土壤污染风险。</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四、目视检查</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（1）对溢流收集和故障发生率较低的简单设施进行的检查，可由经验丰富的员工完成。对于开放防渗设施的目视检查，检查员需保持记录结果和行动日志。结果包含：</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1）检查设施类型和名称；</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2）检查地点；</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3）检查时间和频率；</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4）检查方法(视觉、抽样、检测等)；</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5）结果报告和记录方式；</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6）对违规行为采取的行动。</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（2）路面防渗：为了证明地面和路面满足防渗防漏的需求，需要定期对其进行检查，检查包括接口结构、凸起边缘和破碎程度等。地面目视检查内容包括：</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1）地面或路面已经使用的时间；</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2）当前和预期用途；</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3）检查时观察到的液体渗漏情况；</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4）检查时地面的状况。</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（3）罐体防渗：罐底下方额外加装密封装置，要在罐底和密封装置之间再安装渗漏检测装置。</w:t>
      </w:r>
    </w:p>
    <w:p>
      <w:pPr>
        <w:widowControl/>
        <w:adjustRightInd w:val="0"/>
        <w:snapToGrid w:val="0"/>
        <w:spacing w:line="360" w:lineRule="auto"/>
        <w:ind w:firstLine="560" w:firstLineChars="200"/>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2"/>
          <w:lang w:val="en-US" w:eastAsia="zh-CN"/>
        </w:rPr>
        <w:t>（4）污水管道：现有混凝土下水道通常是不防渗的，须有一个完善的监测系统，以降低企业排污管道污染土壤的风险。</w:t>
      </w:r>
    </w:p>
    <w:p>
      <w:pPr>
        <w:keepNext/>
        <w:keepLines/>
        <w:pageBreakBefore w:val="0"/>
        <w:widowControl/>
        <w:kinsoku/>
        <w:wordWrap/>
        <w:overflowPunct/>
        <w:topLinePunct w:val="0"/>
        <w:autoSpaceDE/>
        <w:autoSpaceDN/>
        <w:bidi w:val="0"/>
        <w:adjustRightInd w:val="0"/>
        <w:snapToGrid w:val="0"/>
        <w:spacing w:line="360" w:lineRule="auto"/>
        <w:ind w:firstLine="0" w:firstLineChars="0"/>
        <w:jc w:val="both"/>
        <w:textAlignment w:val="auto"/>
        <w:outlineLvl w:val="1"/>
        <w:rPr>
          <w:rFonts w:hint="default" w:ascii="Times New Roman" w:hAnsi="Times New Roman" w:eastAsia="宋体" w:cs="Times New Roman"/>
          <w:b/>
          <w:bCs/>
          <w:kern w:val="2"/>
          <w:sz w:val="30"/>
          <w:szCs w:val="30"/>
          <w:highlight w:val="none"/>
          <w:lang w:val="en-US" w:eastAsia="zh-CN" w:bidi="ar-SA"/>
        </w:rPr>
      </w:pPr>
      <w:bookmarkStart w:id="71" w:name="_Toc29585"/>
      <w:r>
        <w:rPr>
          <w:rFonts w:hint="default" w:ascii="Times New Roman" w:hAnsi="Times New Roman" w:eastAsia="宋体" w:cs="Times New Roman"/>
          <w:b/>
          <w:bCs/>
          <w:kern w:val="2"/>
          <w:sz w:val="30"/>
          <w:szCs w:val="30"/>
          <w:highlight w:val="none"/>
          <w:lang w:val="en-US" w:eastAsia="zh-CN" w:bidi="ar-SA"/>
        </w:rPr>
        <w:t xml:space="preserve">5.3 </w:t>
      </w:r>
      <w:bookmarkEnd w:id="69"/>
      <w:bookmarkEnd w:id="70"/>
      <w:r>
        <w:rPr>
          <w:rFonts w:hint="default" w:ascii="Times New Roman" w:hAnsi="Times New Roman" w:eastAsia="宋体" w:cs="Times New Roman"/>
          <w:b/>
          <w:bCs/>
          <w:kern w:val="2"/>
          <w:sz w:val="30"/>
          <w:szCs w:val="30"/>
          <w:highlight w:val="none"/>
          <w:lang w:val="en-US" w:eastAsia="zh-CN" w:bidi="ar-SA"/>
        </w:rPr>
        <w:t>对土壤自行监测工作建议</w:t>
      </w:r>
      <w:bookmarkEnd w:id="71"/>
    </w:p>
    <w:p>
      <w:pPr>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2"/>
          <w:lang w:val="en-US" w:eastAsia="zh-CN"/>
        </w:rPr>
      </w:pPr>
      <w:r>
        <w:rPr>
          <w:rFonts w:hint="default" w:ascii="Times New Roman" w:hAnsi="Times New Roman" w:eastAsia="宋体" w:cs="Times New Roman"/>
          <w:kern w:val="0"/>
          <w:sz w:val="28"/>
          <w:szCs w:val="28"/>
          <w:highlight w:val="none"/>
          <w:lang w:val="en-US" w:eastAsia="zh-CN"/>
        </w:rPr>
        <w:t>通过对</w:t>
      </w:r>
      <w:r>
        <w:rPr>
          <w:rFonts w:hint="eastAsia" w:ascii="Times New Roman" w:hAnsi="Times New Roman" w:cs="Times New Roman"/>
          <w:kern w:val="0"/>
          <w:sz w:val="28"/>
          <w:szCs w:val="28"/>
          <w:highlight w:val="none"/>
          <w:lang w:val="en-US" w:eastAsia="zh-CN"/>
        </w:rPr>
        <w:t>安阳九久化学科技有限公司</w:t>
      </w:r>
      <w:r>
        <w:rPr>
          <w:rFonts w:hint="default" w:ascii="Times New Roman" w:hAnsi="Times New Roman" w:eastAsia="宋体" w:cs="Times New Roman"/>
          <w:kern w:val="0"/>
          <w:sz w:val="28"/>
          <w:szCs w:val="28"/>
          <w:highlight w:val="none"/>
          <w:lang w:val="en-US" w:eastAsia="zh-CN"/>
        </w:rPr>
        <w:t>开展的隐患排查工作可以看出，项目液体储存区域设备完善、管理有序，制定有应急预案、储备有应急物资；液体运输管线</w:t>
      </w:r>
      <w:r>
        <w:rPr>
          <w:rFonts w:hint="default" w:ascii="Times New Roman" w:hAnsi="Times New Roman" w:eastAsia="宋体" w:cs="Times New Roman"/>
          <w:kern w:val="0"/>
          <w:sz w:val="28"/>
          <w:szCs w:val="28"/>
          <w:highlight w:val="none"/>
        </w:rPr>
        <w:t>密闭完好</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kern w:val="0"/>
          <w:sz w:val="28"/>
          <w:szCs w:val="28"/>
          <w:highlight w:val="none"/>
          <w:lang w:val="en-US" w:eastAsia="zh-CN"/>
        </w:rPr>
        <w:t>并定期检测是否发生</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kern w:val="0"/>
          <w:sz w:val="28"/>
          <w:szCs w:val="28"/>
          <w:highlight w:val="none"/>
        </w:rPr>
        <w:t>跑、冒、滴、漏</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kern w:val="0"/>
          <w:sz w:val="28"/>
          <w:szCs w:val="28"/>
          <w:highlight w:val="none"/>
        </w:rPr>
        <w:t>的情况</w:t>
      </w:r>
      <w:r>
        <w:rPr>
          <w:rFonts w:hint="default" w:ascii="Times New Roman" w:hAnsi="Times New Roman" w:eastAsia="宋体" w:cs="Times New Roman"/>
          <w:kern w:val="0"/>
          <w:sz w:val="28"/>
          <w:szCs w:val="28"/>
          <w:highlight w:val="none"/>
          <w:lang w:eastAsia="zh-CN"/>
        </w:rPr>
        <w:t>；</w:t>
      </w:r>
      <w:r>
        <w:rPr>
          <w:rFonts w:hint="default" w:ascii="Times New Roman" w:hAnsi="Times New Roman" w:eastAsia="宋体" w:cs="Times New Roman"/>
          <w:kern w:val="0"/>
          <w:sz w:val="28"/>
          <w:szCs w:val="28"/>
          <w:highlight w:val="none"/>
          <w:lang w:val="en-US" w:eastAsia="zh-CN"/>
        </w:rPr>
        <w:t>生产区设施均密闭，</w:t>
      </w:r>
      <w:r>
        <w:rPr>
          <w:rFonts w:hint="default" w:ascii="Times New Roman" w:hAnsi="Times New Roman" w:eastAsia="宋体" w:cs="Times New Roman"/>
          <w:color w:val="auto"/>
          <w:kern w:val="0"/>
          <w:sz w:val="28"/>
          <w:szCs w:val="28"/>
          <w:highlight w:val="none"/>
          <w:lang w:val="en-US" w:eastAsia="zh-CN"/>
        </w:rPr>
        <w:t>员工按照操作规程进行生产，定期检查和维护；</w:t>
      </w:r>
      <w:r>
        <w:rPr>
          <w:rFonts w:hint="default" w:ascii="Times New Roman" w:hAnsi="Times New Roman" w:cs="Times New Roman"/>
          <w:bCs/>
          <w:sz w:val="28"/>
          <w:szCs w:val="28"/>
        </w:rPr>
        <w:t>1座480m</w:t>
      </w:r>
      <w:r>
        <w:rPr>
          <w:rFonts w:hint="default" w:ascii="Times New Roman" w:hAnsi="Times New Roman" w:cs="Times New Roman"/>
          <w:bCs/>
          <w:sz w:val="28"/>
          <w:szCs w:val="28"/>
          <w:vertAlign w:val="superscript"/>
        </w:rPr>
        <w:t>3</w:t>
      </w:r>
      <w:r>
        <w:rPr>
          <w:rFonts w:hint="default" w:ascii="Times New Roman" w:hAnsi="Times New Roman" w:cs="Times New Roman"/>
          <w:bCs/>
          <w:sz w:val="28"/>
          <w:szCs w:val="28"/>
        </w:rPr>
        <w:t>/d污水处理装置，</w:t>
      </w:r>
      <w:r>
        <w:rPr>
          <w:rFonts w:hint="default" w:ascii="Times New Roman" w:hAnsi="Times New Roman" w:cs="Times New Roman"/>
          <w:color w:val="000000"/>
          <w:sz w:val="28"/>
          <w:szCs w:val="28"/>
        </w:rPr>
        <w:t>采用氧化+微电解+混凝沉淀+脱硫进行预处理后，再采用厌氧+缺氧+好氧+二沉+生物活性炭滤池处理工艺</w:t>
      </w:r>
      <w:r>
        <w:rPr>
          <w:rFonts w:hint="eastAsia" w:ascii="Times New Roman" w:hAnsi="Times New Roman" w:cs="Times New Roman"/>
          <w:color w:val="000000"/>
          <w:sz w:val="28"/>
          <w:szCs w:val="28"/>
          <w:lang w:eastAsia="zh-CN"/>
        </w:rPr>
        <w:t>，</w:t>
      </w:r>
      <w:r>
        <w:rPr>
          <w:rFonts w:hint="default" w:ascii="Times New Roman" w:hAnsi="Times New Roman" w:eastAsia="宋体" w:cs="Times New Roman"/>
          <w:color w:val="auto"/>
          <w:kern w:val="0"/>
          <w:sz w:val="28"/>
          <w:szCs w:val="28"/>
          <w:highlight w:val="none"/>
          <w:lang w:val="en-US" w:eastAsia="zh-CN"/>
        </w:rPr>
        <w:t>污水处理池为钢筋混凝土材质，池底及池壁水泥地面硬化，水池内部设置防腐涂层，职工定期检查</w:t>
      </w:r>
      <w:r>
        <w:rPr>
          <w:rFonts w:hint="eastAsia" w:ascii="Times New Roman" w:hAnsi="Times New Roman" w:eastAsia="宋体" w:cs="Times New Roman"/>
          <w:color w:val="auto"/>
          <w:kern w:val="0"/>
          <w:sz w:val="28"/>
          <w:szCs w:val="28"/>
          <w:highlight w:val="none"/>
          <w:lang w:val="en-US" w:eastAsia="zh-CN"/>
        </w:rPr>
        <w:t>。</w:t>
      </w:r>
    </w:p>
    <w:p>
      <w:pPr>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kern w:val="0"/>
          <w:sz w:val="28"/>
          <w:szCs w:val="28"/>
          <w:highlight w:val="none"/>
          <w:lang w:val="en-US" w:eastAsia="zh-CN"/>
        </w:rPr>
      </w:pPr>
      <w:r>
        <w:rPr>
          <w:rFonts w:hint="default" w:ascii="Times New Roman" w:hAnsi="Times New Roman" w:eastAsia="宋体" w:cs="Times New Roman"/>
          <w:kern w:val="0"/>
          <w:sz w:val="28"/>
          <w:szCs w:val="28"/>
          <w:highlight w:val="none"/>
          <w:lang w:val="en-US" w:eastAsia="zh-CN"/>
        </w:rPr>
        <w:t>故项目在日常生产活动中，若没有严格按照操作规程及巡查制度运行，可能会有少量</w:t>
      </w:r>
      <w:r>
        <w:rPr>
          <w:rFonts w:hint="eastAsia" w:ascii="Times New Roman" w:hAnsi="Times New Roman" w:eastAsia="宋体" w:cs="Times New Roman"/>
          <w:kern w:val="0"/>
          <w:sz w:val="28"/>
          <w:szCs w:val="28"/>
          <w:highlight w:val="none"/>
          <w:lang w:val="en-US" w:eastAsia="zh-CN"/>
        </w:rPr>
        <w:t>液体</w:t>
      </w:r>
      <w:r>
        <w:rPr>
          <w:rFonts w:hint="default" w:ascii="Times New Roman" w:hAnsi="Times New Roman" w:eastAsia="宋体" w:cs="Times New Roman"/>
          <w:kern w:val="0"/>
          <w:sz w:val="28"/>
          <w:szCs w:val="28"/>
          <w:highlight w:val="none"/>
          <w:lang w:eastAsia="zh-CN"/>
        </w:rPr>
        <w:t>滴漏，</w:t>
      </w:r>
      <w:r>
        <w:rPr>
          <w:rFonts w:hint="default" w:ascii="Times New Roman" w:hAnsi="Times New Roman" w:eastAsia="宋体" w:cs="Times New Roman"/>
          <w:kern w:val="0"/>
          <w:sz w:val="28"/>
          <w:szCs w:val="28"/>
          <w:highlight w:val="none"/>
          <w:lang w:val="en-US" w:eastAsia="zh-CN"/>
        </w:rPr>
        <w:t>建议按照技术规范要求及主管部门指导意见对厂区重点防渗区域进行土壤自行监测工作。</w:t>
      </w:r>
    </w:p>
    <w:p>
      <w:pPr>
        <w:pageBreakBefore w:val="0"/>
        <w:widowControl/>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z w:val="28"/>
          <w:szCs w:val="28"/>
          <w:highlight w:val="none"/>
          <w:lang w:val="en-US" w:eastAsia="zh-CN"/>
        </w:rPr>
      </w:pPr>
    </w:p>
    <w:p>
      <w:pPr>
        <w:pStyle w:val="2"/>
        <w:ind w:left="0" w:leftChars="0" w:firstLine="0" w:firstLineChars="0"/>
        <w:rPr>
          <w:rFonts w:hint="default"/>
          <w:lang w:val="en-US" w:eastAsia="zh-CN"/>
        </w:rPr>
      </w:pPr>
    </w:p>
    <w:p>
      <w:pPr>
        <w:pStyle w:val="2"/>
        <w:ind w:left="0" w:leftChars="0" w:firstLine="0" w:firstLineChars="0"/>
        <w:rPr>
          <w:rFonts w:hint="default" w:ascii="Times New Roman" w:hAnsi="Times New Roman" w:eastAsia="宋体" w:cs="Times New Roman"/>
          <w:sz w:val="28"/>
          <w:szCs w:val="22"/>
          <w:lang w:val="en-US" w:eastAsia="zh-CN" w:bidi="ar-SA"/>
        </w:rPr>
      </w:pPr>
      <w:bookmarkStart w:id="72" w:name="_GoBack"/>
      <w:bookmarkEnd w:id="72"/>
    </w:p>
    <w:p>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lang w:val="en-US" w:eastAsia="zh-CN"/>
        </w:rPr>
      </w:pPr>
    </w:p>
    <w:sectPr>
      <w:footerReference r:id="rId14" w:type="default"/>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Arial Black">
    <w:panose1 w:val="020B0A04020102020204"/>
    <w:charset w:val="00"/>
    <w:family w:val="swiss"/>
    <w:pitch w:val="default"/>
    <w:sig w:usb0="A00002AF" w:usb1="400078FB" w:usb2="00000000" w:usb3="00000000" w:csb0="6000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firstLine="240"/>
      <w:rPr>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firstLine="240"/>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posOffset>2877820</wp:posOffset>
              </wp:positionH>
              <wp:positionV relativeFrom="paragraph">
                <wp:posOffset>-140335</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left="0" w:leftChars="0" w:firstLine="0"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6.6pt;margin-top:-11.05pt;height:144pt;width:144pt;mso-position-horizontal-relative:margin;mso-wrap-style:none;z-index:251659264;mso-width-relative:page;mso-height-relative:page;" filled="f" stroked="f" coordsize="21600,21600" o:gfxdata="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9Na9kAAAALAQAADwAAAAAAAAABACAAAAAiAAAAZHJzL2Rvd25yZXYu&#10;eG1sUEsBAhQAFAAAAAgAh07iQHWFKJQzAgAAYwQAAA4AAAAAAAAAAQAgAAAAKAEAAGRycy9lMm9E&#10;b2MueG1sUEsFBgAAAAAGAAYAWQEAAM0FAAAAAA==&#10;">
              <v:fill on="f" focussize="0,0"/>
              <v:stroke on="f" weight="0.5pt"/>
              <v:imagedata o:title=""/>
              <o:lock v:ext="edit" aspectratio="f"/>
              <v:textbox inset="0mm,0mm,0mm,0mm" style="mso-fit-shape-to-text:t;">
                <w:txbxContent>
                  <w:p>
                    <w:pPr>
                      <w:pStyle w:val="14"/>
                      <w:ind w:left="0" w:leftChars="0" w:firstLine="0" w:firstLineChars="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60</w:t>
                    </w:r>
                    <w:r>
                      <w:fldChar w:fldCharType="end"/>
                    </w:r>
                  </w:p>
                </w:txbxContent>
              </v:textbox>
            </v:shape>
          </w:pict>
        </mc:Fallback>
      </mc:AlternateContent>
    </w:r>
  </w:p>
  <w:p>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0"/>
      </w:pBdr>
      <w:ind w:firstLine="360"/>
    </w:pPr>
    <w:r>
      <w:rPr>
        <w:rFonts w:hint="eastAsia"/>
        <w:lang w:eastAsia="zh-CN"/>
      </w:rPr>
      <w:t>安阳九久化学科技有限公司</w:t>
    </w:r>
    <w:r>
      <w:rPr>
        <w:rFonts w:hint="default"/>
        <w:lang w:eastAsia="zh-CN"/>
      </w:rPr>
      <w:t>土壤污染隐患排查报告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D024F8"/>
    <w:multiLevelType w:val="singleLevel"/>
    <w:tmpl w:val="A9D024F8"/>
    <w:lvl w:ilvl="0" w:tentative="0">
      <w:start w:val="1"/>
      <w:numFmt w:val="decimal"/>
      <w:suff w:val="nothing"/>
      <w:lvlText w:val="%1、"/>
      <w:lvlJc w:val="left"/>
    </w:lvl>
  </w:abstractNum>
  <w:abstractNum w:abstractNumId="1">
    <w:nsid w:val="B080A1AE"/>
    <w:multiLevelType w:val="singleLevel"/>
    <w:tmpl w:val="B080A1AE"/>
    <w:lvl w:ilvl="0" w:tentative="0">
      <w:start w:val="1"/>
      <w:numFmt w:val="decimal"/>
      <w:suff w:val="nothing"/>
      <w:lvlText w:val="%1、"/>
      <w:lvlJc w:val="left"/>
    </w:lvl>
  </w:abstractNum>
  <w:abstractNum w:abstractNumId="2">
    <w:nsid w:val="B237812A"/>
    <w:multiLevelType w:val="singleLevel"/>
    <w:tmpl w:val="B237812A"/>
    <w:lvl w:ilvl="0" w:tentative="0">
      <w:start w:val="1"/>
      <w:numFmt w:val="chineseCounting"/>
      <w:suff w:val="nothing"/>
      <w:lvlText w:val="（%1）"/>
      <w:lvlJc w:val="left"/>
      <w:rPr>
        <w:rFonts w:hint="eastAsia"/>
      </w:rPr>
    </w:lvl>
  </w:abstractNum>
  <w:abstractNum w:abstractNumId="3">
    <w:nsid w:val="C16CCD40"/>
    <w:multiLevelType w:val="singleLevel"/>
    <w:tmpl w:val="C16CCD40"/>
    <w:lvl w:ilvl="0" w:tentative="0">
      <w:start w:val="1"/>
      <w:numFmt w:val="decimal"/>
      <w:suff w:val="nothing"/>
      <w:lvlText w:val="（%1）"/>
      <w:lvlJc w:val="left"/>
    </w:lvl>
  </w:abstractNum>
  <w:abstractNum w:abstractNumId="4">
    <w:nsid w:val="EACEDF12"/>
    <w:multiLevelType w:val="singleLevel"/>
    <w:tmpl w:val="EACEDF12"/>
    <w:lvl w:ilvl="0" w:tentative="0">
      <w:start w:val="1"/>
      <w:numFmt w:val="decimal"/>
      <w:suff w:val="nothing"/>
      <w:lvlText w:val="%1、"/>
      <w:lvlJc w:val="left"/>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720"/>
  <w:drawingGridHorizontalSpacing w:val="280"/>
  <w:drawingGridVerticalSpacing w:val="9999999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C8A"/>
    <w:rsid w:val="000064B8"/>
    <w:rsid w:val="00010331"/>
    <w:rsid w:val="00012BF5"/>
    <w:rsid w:val="000146CC"/>
    <w:rsid w:val="00022C29"/>
    <w:rsid w:val="000238C6"/>
    <w:rsid w:val="00023A91"/>
    <w:rsid w:val="00026765"/>
    <w:rsid w:val="000274C0"/>
    <w:rsid w:val="00031889"/>
    <w:rsid w:val="00032587"/>
    <w:rsid w:val="000365B3"/>
    <w:rsid w:val="0003677C"/>
    <w:rsid w:val="00040CE6"/>
    <w:rsid w:val="00043A20"/>
    <w:rsid w:val="00044655"/>
    <w:rsid w:val="000448E9"/>
    <w:rsid w:val="0004670A"/>
    <w:rsid w:val="0005125A"/>
    <w:rsid w:val="00054BA5"/>
    <w:rsid w:val="00055562"/>
    <w:rsid w:val="00055F98"/>
    <w:rsid w:val="000602FC"/>
    <w:rsid w:val="00064604"/>
    <w:rsid w:val="00064664"/>
    <w:rsid w:val="00065D37"/>
    <w:rsid w:val="00066714"/>
    <w:rsid w:val="000673D3"/>
    <w:rsid w:val="00067581"/>
    <w:rsid w:val="000675F0"/>
    <w:rsid w:val="00071591"/>
    <w:rsid w:val="000765F2"/>
    <w:rsid w:val="00076E47"/>
    <w:rsid w:val="00082CEB"/>
    <w:rsid w:val="000845DB"/>
    <w:rsid w:val="00085065"/>
    <w:rsid w:val="00086D55"/>
    <w:rsid w:val="00087824"/>
    <w:rsid w:val="000919AF"/>
    <w:rsid w:val="00092D2B"/>
    <w:rsid w:val="000938B8"/>
    <w:rsid w:val="00096733"/>
    <w:rsid w:val="000A0F17"/>
    <w:rsid w:val="000A113F"/>
    <w:rsid w:val="000A2268"/>
    <w:rsid w:val="000A5FED"/>
    <w:rsid w:val="000A7256"/>
    <w:rsid w:val="000A74D4"/>
    <w:rsid w:val="000B0486"/>
    <w:rsid w:val="000B1078"/>
    <w:rsid w:val="000B2087"/>
    <w:rsid w:val="000B4643"/>
    <w:rsid w:val="000B520B"/>
    <w:rsid w:val="000B5B86"/>
    <w:rsid w:val="000B6A56"/>
    <w:rsid w:val="000B6F7B"/>
    <w:rsid w:val="000B72EF"/>
    <w:rsid w:val="000B751A"/>
    <w:rsid w:val="000C38E3"/>
    <w:rsid w:val="000C6189"/>
    <w:rsid w:val="000D1FC8"/>
    <w:rsid w:val="000D58A9"/>
    <w:rsid w:val="000D6521"/>
    <w:rsid w:val="000E1225"/>
    <w:rsid w:val="000E5871"/>
    <w:rsid w:val="00100930"/>
    <w:rsid w:val="001022D8"/>
    <w:rsid w:val="00103BEB"/>
    <w:rsid w:val="00104532"/>
    <w:rsid w:val="00106B0D"/>
    <w:rsid w:val="00107AD6"/>
    <w:rsid w:val="0011131A"/>
    <w:rsid w:val="00115E77"/>
    <w:rsid w:val="00116B5F"/>
    <w:rsid w:val="0011712B"/>
    <w:rsid w:val="00122F9A"/>
    <w:rsid w:val="00124261"/>
    <w:rsid w:val="001259CC"/>
    <w:rsid w:val="0012792F"/>
    <w:rsid w:val="00127BC5"/>
    <w:rsid w:val="00135C16"/>
    <w:rsid w:val="001369F1"/>
    <w:rsid w:val="00140646"/>
    <w:rsid w:val="001425F0"/>
    <w:rsid w:val="001436FC"/>
    <w:rsid w:val="001455E1"/>
    <w:rsid w:val="001530A5"/>
    <w:rsid w:val="00155031"/>
    <w:rsid w:val="00156934"/>
    <w:rsid w:val="00162A8F"/>
    <w:rsid w:val="001634A8"/>
    <w:rsid w:val="00164925"/>
    <w:rsid w:val="00166F01"/>
    <w:rsid w:val="00177193"/>
    <w:rsid w:val="001817D4"/>
    <w:rsid w:val="00190095"/>
    <w:rsid w:val="001902DE"/>
    <w:rsid w:val="00191CF5"/>
    <w:rsid w:val="00192BCA"/>
    <w:rsid w:val="00194015"/>
    <w:rsid w:val="001957F5"/>
    <w:rsid w:val="00195B18"/>
    <w:rsid w:val="001A0642"/>
    <w:rsid w:val="001B26C8"/>
    <w:rsid w:val="001B5CBC"/>
    <w:rsid w:val="001B6D45"/>
    <w:rsid w:val="001B745B"/>
    <w:rsid w:val="001C2CEC"/>
    <w:rsid w:val="001C37F0"/>
    <w:rsid w:val="001D0337"/>
    <w:rsid w:val="001D26B4"/>
    <w:rsid w:val="001D288C"/>
    <w:rsid w:val="001D3C42"/>
    <w:rsid w:val="001E1ADF"/>
    <w:rsid w:val="001E1F6A"/>
    <w:rsid w:val="001F4C7D"/>
    <w:rsid w:val="001F7887"/>
    <w:rsid w:val="00206479"/>
    <w:rsid w:val="00206521"/>
    <w:rsid w:val="00206DC2"/>
    <w:rsid w:val="00212DF7"/>
    <w:rsid w:val="00214E3C"/>
    <w:rsid w:val="00230B79"/>
    <w:rsid w:val="00230FC7"/>
    <w:rsid w:val="0023297A"/>
    <w:rsid w:val="0023537D"/>
    <w:rsid w:val="002353C3"/>
    <w:rsid w:val="00235876"/>
    <w:rsid w:val="00240026"/>
    <w:rsid w:val="002420C5"/>
    <w:rsid w:val="00242D48"/>
    <w:rsid w:val="002457CB"/>
    <w:rsid w:val="00245D27"/>
    <w:rsid w:val="00245D82"/>
    <w:rsid w:val="00247C2D"/>
    <w:rsid w:val="00252BAB"/>
    <w:rsid w:val="0025330C"/>
    <w:rsid w:val="0025746F"/>
    <w:rsid w:val="0025761C"/>
    <w:rsid w:val="00265116"/>
    <w:rsid w:val="00265EF4"/>
    <w:rsid w:val="00280A45"/>
    <w:rsid w:val="00283731"/>
    <w:rsid w:val="00287A27"/>
    <w:rsid w:val="0029204E"/>
    <w:rsid w:val="0029763D"/>
    <w:rsid w:val="002A2967"/>
    <w:rsid w:val="002A3755"/>
    <w:rsid w:val="002A3A6E"/>
    <w:rsid w:val="002A45BB"/>
    <w:rsid w:val="002A5059"/>
    <w:rsid w:val="002B3DF9"/>
    <w:rsid w:val="002B5C50"/>
    <w:rsid w:val="002B64E4"/>
    <w:rsid w:val="002B67BF"/>
    <w:rsid w:val="002C4E67"/>
    <w:rsid w:val="002C5F54"/>
    <w:rsid w:val="002C6227"/>
    <w:rsid w:val="002C770B"/>
    <w:rsid w:val="002D02C8"/>
    <w:rsid w:val="002D2618"/>
    <w:rsid w:val="002D264F"/>
    <w:rsid w:val="002D379B"/>
    <w:rsid w:val="002D6EF7"/>
    <w:rsid w:val="002D729D"/>
    <w:rsid w:val="002E3F8C"/>
    <w:rsid w:val="002E7A35"/>
    <w:rsid w:val="002F15BD"/>
    <w:rsid w:val="002F16E4"/>
    <w:rsid w:val="002F206F"/>
    <w:rsid w:val="002F452C"/>
    <w:rsid w:val="003023A0"/>
    <w:rsid w:val="003026EC"/>
    <w:rsid w:val="003101EF"/>
    <w:rsid w:val="00313356"/>
    <w:rsid w:val="00317CE9"/>
    <w:rsid w:val="00323B43"/>
    <w:rsid w:val="003244D0"/>
    <w:rsid w:val="003261F7"/>
    <w:rsid w:val="00330276"/>
    <w:rsid w:val="003344BD"/>
    <w:rsid w:val="00336604"/>
    <w:rsid w:val="003416B6"/>
    <w:rsid w:val="003500D9"/>
    <w:rsid w:val="00351041"/>
    <w:rsid w:val="00362B7C"/>
    <w:rsid w:val="00363BFC"/>
    <w:rsid w:val="0036456E"/>
    <w:rsid w:val="003652E3"/>
    <w:rsid w:val="003666CF"/>
    <w:rsid w:val="003769CE"/>
    <w:rsid w:val="003818B4"/>
    <w:rsid w:val="00387CFA"/>
    <w:rsid w:val="00390C64"/>
    <w:rsid w:val="0039340B"/>
    <w:rsid w:val="0039392F"/>
    <w:rsid w:val="00395D42"/>
    <w:rsid w:val="003A19C2"/>
    <w:rsid w:val="003A19F2"/>
    <w:rsid w:val="003B612D"/>
    <w:rsid w:val="003B78F4"/>
    <w:rsid w:val="003C3558"/>
    <w:rsid w:val="003C65DE"/>
    <w:rsid w:val="003D3592"/>
    <w:rsid w:val="003D37D8"/>
    <w:rsid w:val="003D4420"/>
    <w:rsid w:val="003E08C9"/>
    <w:rsid w:val="003E183A"/>
    <w:rsid w:val="003E4258"/>
    <w:rsid w:val="003E6F54"/>
    <w:rsid w:val="003F4923"/>
    <w:rsid w:val="0040654F"/>
    <w:rsid w:val="00406CBA"/>
    <w:rsid w:val="004100D0"/>
    <w:rsid w:val="00416A52"/>
    <w:rsid w:val="004210C5"/>
    <w:rsid w:val="0042329A"/>
    <w:rsid w:val="00423509"/>
    <w:rsid w:val="00426133"/>
    <w:rsid w:val="0043047A"/>
    <w:rsid w:val="00432097"/>
    <w:rsid w:val="0043324A"/>
    <w:rsid w:val="004358AB"/>
    <w:rsid w:val="00444F65"/>
    <w:rsid w:val="004509DA"/>
    <w:rsid w:val="0045176B"/>
    <w:rsid w:val="00451A08"/>
    <w:rsid w:val="00452B8B"/>
    <w:rsid w:val="00454A3C"/>
    <w:rsid w:val="00457E05"/>
    <w:rsid w:val="00462523"/>
    <w:rsid w:val="00463626"/>
    <w:rsid w:val="004640C0"/>
    <w:rsid w:val="004678E8"/>
    <w:rsid w:val="00467CD3"/>
    <w:rsid w:val="00472741"/>
    <w:rsid w:val="004746DD"/>
    <w:rsid w:val="004776EF"/>
    <w:rsid w:val="00480D56"/>
    <w:rsid w:val="00482EC3"/>
    <w:rsid w:val="00483BA9"/>
    <w:rsid w:val="00490BBF"/>
    <w:rsid w:val="00491CED"/>
    <w:rsid w:val="00493BA0"/>
    <w:rsid w:val="0049424E"/>
    <w:rsid w:val="00495FF1"/>
    <w:rsid w:val="00497270"/>
    <w:rsid w:val="004A71BB"/>
    <w:rsid w:val="004C4A91"/>
    <w:rsid w:val="004C7DC8"/>
    <w:rsid w:val="004D1945"/>
    <w:rsid w:val="004D296C"/>
    <w:rsid w:val="004E2725"/>
    <w:rsid w:val="004E51CF"/>
    <w:rsid w:val="004E5E00"/>
    <w:rsid w:val="004E720D"/>
    <w:rsid w:val="004F5238"/>
    <w:rsid w:val="004F58CA"/>
    <w:rsid w:val="004F595E"/>
    <w:rsid w:val="004F6011"/>
    <w:rsid w:val="004F6FA3"/>
    <w:rsid w:val="004F74D3"/>
    <w:rsid w:val="004F7C64"/>
    <w:rsid w:val="00503B07"/>
    <w:rsid w:val="00504D74"/>
    <w:rsid w:val="0051097F"/>
    <w:rsid w:val="00515802"/>
    <w:rsid w:val="00523B97"/>
    <w:rsid w:val="00523C55"/>
    <w:rsid w:val="005260CA"/>
    <w:rsid w:val="005268F7"/>
    <w:rsid w:val="00527E1C"/>
    <w:rsid w:val="005403ED"/>
    <w:rsid w:val="00542B64"/>
    <w:rsid w:val="00553814"/>
    <w:rsid w:val="00553B2F"/>
    <w:rsid w:val="00555D93"/>
    <w:rsid w:val="005632E9"/>
    <w:rsid w:val="005643EB"/>
    <w:rsid w:val="00567A66"/>
    <w:rsid w:val="00572CC1"/>
    <w:rsid w:val="00573C4A"/>
    <w:rsid w:val="00573F2E"/>
    <w:rsid w:val="00574FF3"/>
    <w:rsid w:val="00576315"/>
    <w:rsid w:val="00576473"/>
    <w:rsid w:val="005820E0"/>
    <w:rsid w:val="00586764"/>
    <w:rsid w:val="00587DE5"/>
    <w:rsid w:val="00587EA0"/>
    <w:rsid w:val="0059304F"/>
    <w:rsid w:val="00593C4E"/>
    <w:rsid w:val="00596D19"/>
    <w:rsid w:val="005978E9"/>
    <w:rsid w:val="005A5F84"/>
    <w:rsid w:val="005B33A3"/>
    <w:rsid w:val="005C106D"/>
    <w:rsid w:val="005C2B68"/>
    <w:rsid w:val="005C69A6"/>
    <w:rsid w:val="005C7F69"/>
    <w:rsid w:val="005D160A"/>
    <w:rsid w:val="005D21FF"/>
    <w:rsid w:val="005D677D"/>
    <w:rsid w:val="005E5A94"/>
    <w:rsid w:val="005F08F9"/>
    <w:rsid w:val="005F4964"/>
    <w:rsid w:val="005F55C3"/>
    <w:rsid w:val="005F60A9"/>
    <w:rsid w:val="005F7280"/>
    <w:rsid w:val="005F737B"/>
    <w:rsid w:val="005F7608"/>
    <w:rsid w:val="0061269D"/>
    <w:rsid w:val="00612FC3"/>
    <w:rsid w:val="00620E3D"/>
    <w:rsid w:val="00620E61"/>
    <w:rsid w:val="0062306A"/>
    <w:rsid w:val="0062333E"/>
    <w:rsid w:val="00630D3C"/>
    <w:rsid w:val="00631D84"/>
    <w:rsid w:val="0063295C"/>
    <w:rsid w:val="00634310"/>
    <w:rsid w:val="006349C3"/>
    <w:rsid w:val="00636237"/>
    <w:rsid w:val="00636B9A"/>
    <w:rsid w:val="00651AD5"/>
    <w:rsid w:val="00656FCD"/>
    <w:rsid w:val="00662D50"/>
    <w:rsid w:val="00665E99"/>
    <w:rsid w:val="006727AE"/>
    <w:rsid w:val="006755D0"/>
    <w:rsid w:val="0068379A"/>
    <w:rsid w:val="006851BB"/>
    <w:rsid w:val="00686049"/>
    <w:rsid w:val="00687F02"/>
    <w:rsid w:val="00690B1F"/>
    <w:rsid w:val="006A26CC"/>
    <w:rsid w:val="006A3BBA"/>
    <w:rsid w:val="006A7F2A"/>
    <w:rsid w:val="006B486A"/>
    <w:rsid w:val="006B6A92"/>
    <w:rsid w:val="006B77A8"/>
    <w:rsid w:val="006B7D03"/>
    <w:rsid w:val="006C0364"/>
    <w:rsid w:val="006C05BA"/>
    <w:rsid w:val="006C1B0E"/>
    <w:rsid w:val="006C3CFF"/>
    <w:rsid w:val="006C63B2"/>
    <w:rsid w:val="006C687A"/>
    <w:rsid w:val="006D0271"/>
    <w:rsid w:val="006D20FC"/>
    <w:rsid w:val="006D63FF"/>
    <w:rsid w:val="006D6567"/>
    <w:rsid w:val="006D6B75"/>
    <w:rsid w:val="006D7CB8"/>
    <w:rsid w:val="006F0A94"/>
    <w:rsid w:val="006F18B7"/>
    <w:rsid w:val="006F2145"/>
    <w:rsid w:val="006F3EDD"/>
    <w:rsid w:val="006F46D2"/>
    <w:rsid w:val="006F5737"/>
    <w:rsid w:val="006F6342"/>
    <w:rsid w:val="00702B14"/>
    <w:rsid w:val="007038DA"/>
    <w:rsid w:val="00704A84"/>
    <w:rsid w:val="00705879"/>
    <w:rsid w:val="00710AF4"/>
    <w:rsid w:val="0071141A"/>
    <w:rsid w:val="0072794D"/>
    <w:rsid w:val="00731C2E"/>
    <w:rsid w:val="007363BC"/>
    <w:rsid w:val="00736700"/>
    <w:rsid w:val="00740BF3"/>
    <w:rsid w:val="007435BE"/>
    <w:rsid w:val="00745C77"/>
    <w:rsid w:val="00753AB1"/>
    <w:rsid w:val="00754185"/>
    <w:rsid w:val="00755EC4"/>
    <w:rsid w:val="0076203A"/>
    <w:rsid w:val="00762D0D"/>
    <w:rsid w:val="00763631"/>
    <w:rsid w:val="007709D3"/>
    <w:rsid w:val="0077134D"/>
    <w:rsid w:val="00775CD8"/>
    <w:rsid w:val="00777C03"/>
    <w:rsid w:val="007806AD"/>
    <w:rsid w:val="007828E3"/>
    <w:rsid w:val="00783511"/>
    <w:rsid w:val="00785DBA"/>
    <w:rsid w:val="007864A0"/>
    <w:rsid w:val="00786542"/>
    <w:rsid w:val="007872C8"/>
    <w:rsid w:val="00790C53"/>
    <w:rsid w:val="00790E38"/>
    <w:rsid w:val="00792F4B"/>
    <w:rsid w:val="007936FE"/>
    <w:rsid w:val="00794FBF"/>
    <w:rsid w:val="00797AC5"/>
    <w:rsid w:val="007A16E7"/>
    <w:rsid w:val="007A32D6"/>
    <w:rsid w:val="007A723D"/>
    <w:rsid w:val="007B3080"/>
    <w:rsid w:val="007C0B07"/>
    <w:rsid w:val="007C1DBC"/>
    <w:rsid w:val="007C348D"/>
    <w:rsid w:val="007C5413"/>
    <w:rsid w:val="007C729F"/>
    <w:rsid w:val="007D00FF"/>
    <w:rsid w:val="007D4211"/>
    <w:rsid w:val="007E2A78"/>
    <w:rsid w:val="007E442C"/>
    <w:rsid w:val="007E6D53"/>
    <w:rsid w:val="007F27BE"/>
    <w:rsid w:val="007F6C13"/>
    <w:rsid w:val="008028C7"/>
    <w:rsid w:val="008046C1"/>
    <w:rsid w:val="008073B7"/>
    <w:rsid w:val="00807969"/>
    <w:rsid w:val="008126C7"/>
    <w:rsid w:val="00812B28"/>
    <w:rsid w:val="00814ED4"/>
    <w:rsid w:val="008211E8"/>
    <w:rsid w:val="00821B61"/>
    <w:rsid w:val="00821E3B"/>
    <w:rsid w:val="00824163"/>
    <w:rsid w:val="00826D09"/>
    <w:rsid w:val="00836814"/>
    <w:rsid w:val="0083768D"/>
    <w:rsid w:val="00841B75"/>
    <w:rsid w:val="008433DD"/>
    <w:rsid w:val="0084409E"/>
    <w:rsid w:val="00850BEF"/>
    <w:rsid w:val="00852567"/>
    <w:rsid w:val="008539BB"/>
    <w:rsid w:val="00853EEC"/>
    <w:rsid w:val="00856FB4"/>
    <w:rsid w:val="00857842"/>
    <w:rsid w:val="00862FAC"/>
    <w:rsid w:val="00871DE8"/>
    <w:rsid w:val="00873C85"/>
    <w:rsid w:val="00874BED"/>
    <w:rsid w:val="00876627"/>
    <w:rsid w:val="00877AE0"/>
    <w:rsid w:val="00880A44"/>
    <w:rsid w:val="00882052"/>
    <w:rsid w:val="00883EC4"/>
    <w:rsid w:val="00885448"/>
    <w:rsid w:val="00892F67"/>
    <w:rsid w:val="0089359A"/>
    <w:rsid w:val="008968AC"/>
    <w:rsid w:val="008A68A2"/>
    <w:rsid w:val="008B5F6F"/>
    <w:rsid w:val="008B6DE6"/>
    <w:rsid w:val="008B7726"/>
    <w:rsid w:val="008B7A3B"/>
    <w:rsid w:val="008C5A5E"/>
    <w:rsid w:val="008C691B"/>
    <w:rsid w:val="008D39A1"/>
    <w:rsid w:val="008D7BDB"/>
    <w:rsid w:val="008E0DE4"/>
    <w:rsid w:val="008E5867"/>
    <w:rsid w:val="008E5ACD"/>
    <w:rsid w:val="008E5F8A"/>
    <w:rsid w:val="008F32F1"/>
    <w:rsid w:val="008F3E42"/>
    <w:rsid w:val="008F3EFA"/>
    <w:rsid w:val="008F7CFA"/>
    <w:rsid w:val="00905936"/>
    <w:rsid w:val="00906642"/>
    <w:rsid w:val="0091139E"/>
    <w:rsid w:val="00913500"/>
    <w:rsid w:val="00913598"/>
    <w:rsid w:val="00916597"/>
    <w:rsid w:val="00925F98"/>
    <w:rsid w:val="0092659B"/>
    <w:rsid w:val="009268B1"/>
    <w:rsid w:val="00930045"/>
    <w:rsid w:val="009310E5"/>
    <w:rsid w:val="0093216B"/>
    <w:rsid w:val="00932C38"/>
    <w:rsid w:val="00944E83"/>
    <w:rsid w:val="009478C1"/>
    <w:rsid w:val="00947CD6"/>
    <w:rsid w:val="00950C54"/>
    <w:rsid w:val="00954D07"/>
    <w:rsid w:val="00961B10"/>
    <w:rsid w:val="00962F43"/>
    <w:rsid w:val="00964584"/>
    <w:rsid w:val="00964BC3"/>
    <w:rsid w:val="009664E6"/>
    <w:rsid w:val="00970B5C"/>
    <w:rsid w:val="009730A8"/>
    <w:rsid w:val="00981C74"/>
    <w:rsid w:val="00982EC0"/>
    <w:rsid w:val="00983F5C"/>
    <w:rsid w:val="00986364"/>
    <w:rsid w:val="00986564"/>
    <w:rsid w:val="00993D6E"/>
    <w:rsid w:val="0099618C"/>
    <w:rsid w:val="009A1518"/>
    <w:rsid w:val="009A185D"/>
    <w:rsid w:val="009A38A1"/>
    <w:rsid w:val="009A7096"/>
    <w:rsid w:val="009B0436"/>
    <w:rsid w:val="009B0854"/>
    <w:rsid w:val="009B186C"/>
    <w:rsid w:val="009B284E"/>
    <w:rsid w:val="009B3BB1"/>
    <w:rsid w:val="009B4DB1"/>
    <w:rsid w:val="009B74CD"/>
    <w:rsid w:val="009C29AE"/>
    <w:rsid w:val="009C2E43"/>
    <w:rsid w:val="009C2E67"/>
    <w:rsid w:val="009C444C"/>
    <w:rsid w:val="009C4BDF"/>
    <w:rsid w:val="009C5032"/>
    <w:rsid w:val="009C5613"/>
    <w:rsid w:val="009C7FD2"/>
    <w:rsid w:val="009D0E2A"/>
    <w:rsid w:val="009D167F"/>
    <w:rsid w:val="009D1DA5"/>
    <w:rsid w:val="009D3D38"/>
    <w:rsid w:val="009E1B28"/>
    <w:rsid w:val="009E3902"/>
    <w:rsid w:val="009E442D"/>
    <w:rsid w:val="009E60E2"/>
    <w:rsid w:val="009E726B"/>
    <w:rsid w:val="009F0241"/>
    <w:rsid w:val="009F20AD"/>
    <w:rsid w:val="009F73E0"/>
    <w:rsid w:val="009F78A0"/>
    <w:rsid w:val="00A00CE1"/>
    <w:rsid w:val="00A03043"/>
    <w:rsid w:val="00A063F4"/>
    <w:rsid w:val="00A07D27"/>
    <w:rsid w:val="00A07D4F"/>
    <w:rsid w:val="00A13269"/>
    <w:rsid w:val="00A15F36"/>
    <w:rsid w:val="00A16B46"/>
    <w:rsid w:val="00A24AED"/>
    <w:rsid w:val="00A252DC"/>
    <w:rsid w:val="00A33AA9"/>
    <w:rsid w:val="00A351DC"/>
    <w:rsid w:val="00A36D4C"/>
    <w:rsid w:val="00A4076D"/>
    <w:rsid w:val="00A418B5"/>
    <w:rsid w:val="00A43F23"/>
    <w:rsid w:val="00A46652"/>
    <w:rsid w:val="00A47F43"/>
    <w:rsid w:val="00A50848"/>
    <w:rsid w:val="00A508DD"/>
    <w:rsid w:val="00A574AA"/>
    <w:rsid w:val="00A57527"/>
    <w:rsid w:val="00A57DAA"/>
    <w:rsid w:val="00A609B6"/>
    <w:rsid w:val="00A639C4"/>
    <w:rsid w:val="00A67310"/>
    <w:rsid w:val="00A67D00"/>
    <w:rsid w:val="00A7436E"/>
    <w:rsid w:val="00A77301"/>
    <w:rsid w:val="00A818ED"/>
    <w:rsid w:val="00A840C8"/>
    <w:rsid w:val="00A9071C"/>
    <w:rsid w:val="00A95336"/>
    <w:rsid w:val="00A96D6F"/>
    <w:rsid w:val="00A97FA5"/>
    <w:rsid w:val="00AA05BB"/>
    <w:rsid w:val="00AA0B27"/>
    <w:rsid w:val="00AB250F"/>
    <w:rsid w:val="00AB78B2"/>
    <w:rsid w:val="00AC306A"/>
    <w:rsid w:val="00AC44C0"/>
    <w:rsid w:val="00AC74B7"/>
    <w:rsid w:val="00AD17A4"/>
    <w:rsid w:val="00AD58B6"/>
    <w:rsid w:val="00AE34AB"/>
    <w:rsid w:val="00AE522D"/>
    <w:rsid w:val="00AE62FB"/>
    <w:rsid w:val="00AF220B"/>
    <w:rsid w:val="00B00E87"/>
    <w:rsid w:val="00B04B9E"/>
    <w:rsid w:val="00B052E3"/>
    <w:rsid w:val="00B10609"/>
    <w:rsid w:val="00B10C9B"/>
    <w:rsid w:val="00B229D8"/>
    <w:rsid w:val="00B24341"/>
    <w:rsid w:val="00B25231"/>
    <w:rsid w:val="00B26346"/>
    <w:rsid w:val="00B34624"/>
    <w:rsid w:val="00B34F14"/>
    <w:rsid w:val="00B43B0C"/>
    <w:rsid w:val="00B43B91"/>
    <w:rsid w:val="00B43CD0"/>
    <w:rsid w:val="00B441A9"/>
    <w:rsid w:val="00B47591"/>
    <w:rsid w:val="00B50F39"/>
    <w:rsid w:val="00B51DB3"/>
    <w:rsid w:val="00B523E4"/>
    <w:rsid w:val="00B54C37"/>
    <w:rsid w:val="00B55BE6"/>
    <w:rsid w:val="00B57BB8"/>
    <w:rsid w:val="00B63839"/>
    <w:rsid w:val="00B6688A"/>
    <w:rsid w:val="00B72E80"/>
    <w:rsid w:val="00B73ADD"/>
    <w:rsid w:val="00B76CEF"/>
    <w:rsid w:val="00B77A11"/>
    <w:rsid w:val="00B80F95"/>
    <w:rsid w:val="00B832C7"/>
    <w:rsid w:val="00B83908"/>
    <w:rsid w:val="00B83E47"/>
    <w:rsid w:val="00B843CA"/>
    <w:rsid w:val="00B9244E"/>
    <w:rsid w:val="00B9541C"/>
    <w:rsid w:val="00B95C58"/>
    <w:rsid w:val="00BA7977"/>
    <w:rsid w:val="00BB7233"/>
    <w:rsid w:val="00BC214B"/>
    <w:rsid w:val="00BC3199"/>
    <w:rsid w:val="00BC5041"/>
    <w:rsid w:val="00BC7DD2"/>
    <w:rsid w:val="00BD1A26"/>
    <w:rsid w:val="00BE1A58"/>
    <w:rsid w:val="00BE4A44"/>
    <w:rsid w:val="00BF16F4"/>
    <w:rsid w:val="00BF5B57"/>
    <w:rsid w:val="00BF6803"/>
    <w:rsid w:val="00C028D2"/>
    <w:rsid w:val="00C052C8"/>
    <w:rsid w:val="00C053CE"/>
    <w:rsid w:val="00C0797C"/>
    <w:rsid w:val="00C13809"/>
    <w:rsid w:val="00C20DE7"/>
    <w:rsid w:val="00C22C65"/>
    <w:rsid w:val="00C26CB7"/>
    <w:rsid w:val="00C33EAE"/>
    <w:rsid w:val="00C356EF"/>
    <w:rsid w:val="00C3683D"/>
    <w:rsid w:val="00C3739A"/>
    <w:rsid w:val="00C37757"/>
    <w:rsid w:val="00C37B3B"/>
    <w:rsid w:val="00C4168E"/>
    <w:rsid w:val="00C427A9"/>
    <w:rsid w:val="00C476B5"/>
    <w:rsid w:val="00C52360"/>
    <w:rsid w:val="00C53DD5"/>
    <w:rsid w:val="00C55E51"/>
    <w:rsid w:val="00C5741B"/>
    <w:rsid w:val="00C60502"/>
    <w:rsid w:val="00C62E42"/>
    <w:rsid w:val="00C63371"/>
    <w:rsid w:val="00C639A2"/>
    <w:rsid w:val="00C64789"/>
    <w:rsid w:val="00C64EE8"/>
    <w:rsid w:val="00C6782A"/>
    <w:rsid w:val="00C716B0"/>
    <w:rsid w:val="00C74997"/>
    <w:rsid w:val="00C7630C"/>
    <w:rsid w:val="00C80F90"/>
    <w:rsid w:val="00C8489C"/>
    <w:rsid w:val="00C87667"/>
    <w:rsid w:val="00C9209F"/>
    <w:rsid w:val="00C927B1"/>
    <w:rsid w:val="00C95F42"/>
    <w:rsid w:val="00C97F53"/>
    <w:rsid w:val="00CA12EB"/>
    <w:rsid w:val="00CA3124"/>
    <w:rsid w:val="00CB1DBF"/>
    <w:rsid w:val="00CB2686"/>
    <w:rsid w:val="00CB34A4"/>
    <w:rsid w:val="00CB49FF"/>
    <w:rsid w:val="00CB544A"/>
    <w:rsid w:val="00CB6B17"/>
    <w:rsid w:val="00CC3282"/>
    <w:rsid w:val="00CC3628"/>
    <w:rsid w:val="00CC7B62"/>
    <w:rsid w:val="00CD5BC1"/>
    <w:rsid w:val="00CE0E3D"/>
    <w:rsid w:val="00CE2C1D"/>
    <w:rsid w:val="00CE3682"/>
    <w:rsid w:val="00CE4DB5"/>
    <w:rsid w:val="00CE71A5"/>
    <w:rsid w:val="00CF1E20"/>
    <w:rsid w:val="00CF2245"/>
    <w:rsid w:val="00CF3D12"/>
    <w:rsid w:val="00CF4304"/>
    <w:rsid w:val="00CF4EB6"/>
    <w:rsid w:val="00D02C85"/>
    <w:rsid w:val="00D0706E"/>
    <w:rsid w:val="00D120A3"/>
    <w:rsid w:val="00D167D2"/>
    <w:rsid w:val="00D16ADA"/>
    <w:rsid w:val="00D173F3"/>
    <w:rsid w:val="00D202D8"/>
    <w:rsid w:val="00D2706E"/>
    <w:rsid w:val="00D31D50"/>
    <w:rsid w:val="00D32D25"/>
    <w:rsid w:val="00D34BDF"/>
    <w:rsid w:val="00D34BE3"/>
    <w:rsid w:val="00D517EE"/>
    <w:rsid w:val="00D55E4C"/>
    <w:rsid w:val="00D56FDF"/>
    <w:rsid w:val="00D60A9D"/>
    <w:rsid w:val="00D67475"/>
    <w:rsid w:val="00D71259"/>
    <w:rsid w:val="00D72302"/>
    <w:rsid w:val="00D7674F"/>
    <w:rsid w:val="00D810DD"/>
    <w:rsid w:val="00D86225"/>
    <w:rsid w:val="00D92756"/>
    <w:rsid w:val="00DA363D"/>
    <w:rsid w:val="00DA3D3E"/>
    <w:rsid w:val="00DB7A4D"/>
    <w:rsid w:val="00DC35B3"/>
    <w:rsid w:val="00DC7069"/>
    <w:rsid w:val="00DC7A8E"/>
    <w:rsid w:val="00DD19F8"/>
    <w:rsid w:val="00DD1E3B"/>
    <w:rsid w:val="00DD37CD"/>
    <w:rsid w:val="00DD48D1"/>
    <w:rsid w:val="00DD795A"/>
    <w:rsid w:val="00DE01C2"/>
    <w:rsid w:val="00DE0E0C"/>
    <w:rsid w:val="00DE4FBF"/>
    <w:rsid w:val="00DE5092"/>
    <w:rsid w:val="00DE7065"/>
    <w:rsid w:val="00DF0E7E"/>
    <w:rsid w:val="00DF1461"/>
    <w:rsid w:val="00DF16C9"/>
    <w:rsid w:val="00DF5100"/>
    <w:rsid w:val="00DF710E"/>
    <w:rsid w:val="00E02D12"/>
    <w:rsid w:val="00E112F7"/>
    <w:rsid w:val="00E15317"/>
    <w:rsid w:val="00E15CCB"/>
    <w:rsid w:val="00E21051"/>
    <w:rsid w:val="00E22178"/>
    <w:rsid w:val="00E225E5"/>
    <w:rsid w:val="00E2615D"/>
    <w:rsid w:val="00E30807"/>
    <w:rsid w:val="00E3238A"/>
    <w:rsid w:val="00E347D4"/>
    <w:rsid w:val="00E37F20"/>
    <w:rsid w:val="00E430FC"/>
    <w:rsid w:val="00E438D9"/>
    <w:rsid w:val="00E44DF5"/>
    <w:rsid w:val="00E467CC"/>
    <w:rsid w:val="00E52ED6"/>
    <w:rsid w:val="00E60021"/>
    <w:rsid w:val="00E6063B"/>
    <w:rsid w:val="00E62DF7"/>
    <w:rsid w:val="00E730B3"/>
    <w:rsid w:val="00E74F35"/>
    <w:rsid w:val="00E76212"/>
    <w:rsid w:val="00E76449"/>
    <w:rsid w:val="00E85087"/>
    <w:rsid w:val="00E90317"/>
    <w:rsid w:val="00E926EB"/>
    <w:rsid w:val="00EA180D"/>
    <w:rsid w:val="00EA2646"/>
    <w:rsid w:val="00EA45F9"/>
    <w:rsid w:val="00EB16C8"/>
    <w:rsid w:val="00EB6078"/>
    <w:rsid w:val="00EB6503"/>
    <w:rsid w:val="00EB78FF"/>
    <w:rsid w:val="00EC24E9"/>
    <w:rsid w:val="00EC7BF1"/>
    <w:rsid w:val="00ED079F"/>
    <w:rsid w:val="00ED47D7"/>
    <w:rsid w:val="00EE0782"/>
    <w:rsid w:val="00EE43CB"/>
    <w:rsid w:val="00EF0DFA"/>
    <w:rsid w:val="00EF4464"/>
    <w:rsid w:val="00EF48BF"/>
    <w:rsid w:val="00F0010D"/>
    <w:rsid w:val="00F0415D"/>
    <w:rsid w:val="00F04549"/>
    <w:rsid w:val="00F06913"/>
    <w:rsid w:val="00F1198D"/>
    <w:rsid w:val="00F11E31"/>
    <w:rsid w:val="00F12058"/>
    <w:rsid w:val="00F1666B"/>
    <w:rsid w:val="00F168AD"/>
    <w:rsid w:val="00F17AEB"/>
    <w:rsid w:val="00F23CB9"/>
    <w:rsid w:val="00F2500C"/>
    <w:rsid w:val="00F27255"/>
    <w:rsid w:val="00F32485"/>
    <w:rsid w:val="00F350F2"/>
    <w:rsid w:val="00F41E37"/>
    <w:rsid w:val="00F42EEA"/>
    <w:rsid w:val="00F444E7"/>
    <w:rsid w:val="00F462DF"/>
    <w:rsid w:val="00F47BF4"/>
    <w:rsid w:val="00F5365B"/>
    <w:rsid w:val="00F5406B"/>
    <w:rsid w:val="00F5690B"/>
    <w:rsid w:val="00F627A2"/>
    <w:rsid w:val="00F64EF8"/>
    <w:rsid w:val="00F7560D"/>
    <w:rsid w:val="00F76532"/>
    <w:rsid w:val="00F773F5"/>
    <w:rsid w:val="00F807AA"/>
    <w:rsid w:val="00F80A5E"/>
    <w:rsid w:val="00F821A3"/>
    <w:rsid w:val="00F82E9E"/>
    <w:rsid w:val="00F86DDE"/>
    <w:rsid w:val="00F87180"/>
    <w:rsid w:val="00F9494E"/>
    <w:rsid w:val="00F956CC"/>
    <w:rsid w:val="00FA0878"/>
    <w:rsid w:val="00FA25C8"/>
    <w:rsid w:val="00FB2E7C"/>
    <w:rsid w:val="00FB5AD6"/>
    <w:rsid w:val="00FC02F4"/>
    <w:rsid w:val="00FC3C68"/>
    <w:rsid w:val="00FD490B"/>
    <w:rsid w:val="00FD6BBA"/>
    <w:rsid w:val="00FE2638"/>
    <w:rsid w:val="00FE5B36"/>
    <w:rsid w:val="00FF1328"/>
    <w:rsid w:val="00FF7971"/>
    <w:rsid w:val="017364E8"/>
    <w:rsid w:val="018818F0"/>
    <w:rsid w:val="025258E3"/>
    <w:rsid w:val="033650F1"/>
    <w:rsid w:val="035C4098"/>
    <w:rsid w:val="03653928"/>
    <w:rsid w:val="037426B7"/>
    <w:rsid w:val="037E21F2"/>
    <w:rsid w:val="03B34263"/>
    <w:rsid w:val="03B43F74"/>
    <w:rsid w:val="03C167C8"/>
    <w:rsid w:val="03F57C92"/>
    <w:rsid w:val="042A7FB8"/>
    <w:rsid w:val="04692591"/>
    <w:rsid w:val="04925A1D"/>
    <w:rsid w:val="04EE14CA"/>
    <w:rsid w:val="050E028F"/>
    <w:rsid w:val="05192CCF"/>
    <w:rsid w:val="052B6F01"/>
    <w:rsid w:val="05352427"/>
    <w:rsid w:val="053977CF"/>
    <w:rsid w:val="05DB0F01"/>
    <w:rsid w:val="05DD558D"/>
    <w:rsid w:val="05E67B6C"/>
    <w:rsid w:val="05F0092F"/>
    <w:rsid w:val="05F96536"/>
    <w:rsid w:val="06065296"/>
    <w:rsid w:val="061A36F1"/>
    <w:rsid w:val="06351721"/>
    <w:rsid w:val="063F6E13"/>
    <w:rsid w:val="06437CCD"/>
    <w:rsid w:val="06BA5C15"/>
    <w:rsid w:val="06DD70F1"/>
    <w:rsid w:val="06DE4B66"/>
    <w:rsid w:val="06FC09B6"/>
    <w:rsid w:val="072A6D35"/>
    <w:rsid w:val="07957511"/>
    <w:rsid w:val="07E16F3F"/>
    <w:rsid w:val="07F11379"/>
    <w:rsid w:val="080E11C1"/>
    <w:rsid w:val="08216F3B"/>
    <w:rsid w:val="084C2C22"/>
    <w:rsid w:val="08561776"/>
    <w:rsid w:val="08804D3B"/>
    <w:rsid w:val="0893342F"/>
    <w:rsid w:val="08B8346F"/>
    <w:rsid w:val="08B90C5B"/>
    <w:rsid w:val="09052D60"/>
    <w:rsid w:val="093909D8"/>
    <w:rsid w:val="094B4988"/>
    <w:rsid w:val="09813BDD"/>
    <w:rsid w:val="09942C43"/>
    <w:rsid w:val="099922D3"/>
    <w:rsid w:val="09DB5645"/>
    <w:rsid w:val="09E1312A"/>
    <w:rsid w:val="09EB04F3"/>
    <w:rsid w:val="0A007FED"/>
    <w:rsid w:val="0A0305E0"/>
    <w:rsid w:val="0A3D56D5"/>
    <w:rsid w:val="0A6C495F"/>
    <w:rsid w:val="0A7F4B32"/>
    <w:rsid w:val="0AA3504C"/>
    <w:rsid w:val="0AE300E2"/>
    <w:rsid w:val="0B19571E"/>
    <w:rsid w:val="0B3248CC"/>
    <w:rsid w:val="0B354B36"/>
    <w:rsid w:val="0B962997"/>
    <w:rsid w:val="0B9659C9"/>
    <w:rsid w:val="0B9C4028"/>
    <w:rsid w:val="0C08072E"/>
    <w:rsid w:val="0C1619D7"/>
    <w:rsid w:val="0C6B355E"/>
    <w:rsid w:val="0C7E22B7"/>
    <w:rsid w:val="0C92714E"/>
    <w:rsid w:val="0CDE7E60"/>
    <w:rsid w:val="0CF26899"/>
    <w:rsid w:val="0CFC55CC"/>
    <w:rsid w:val="0D0F4334"/>
    <w:rsid w:val="0D2F38AB"/>
    <w:rsid w:val="0D5A5EAA"/>
    <w:rsid w:val="0D7562B8"/>
    <w:rsid w:val="0DB22FB6"/>
    <w:rsid w:val="0E4B043D"/>
    <w:rsid w:val="0E8C1AB6"/>
    <w:rsid w:val="0E955A6D"/>
    <w:rsid w:val="0EA96428"/>
    <w:rsid w:val="0ED058D6"/>
    <w:rsid w:val="0ED31EE7"/>
    <w:rsid w:val="0ED37DE5"/>
    <w:rsid w:val="0EFB6824"/>
    <w:rsid w:val="0F2A30B9"/>
    <w:rsid w:val="0F3737D0"/>
    <w:rsid w:val="0F870577"/>
    <w:rsid w:val="0FB259E8"/>
    <w:rsid w:val="0FB50F37"/>
    <w:rsid w:val="0FE568A8"/>
    <w:rsid w:val="0FEA1DEF"/>
    <w:rsid w:val="0FF722FA"/>
    <w:rsid w:val="0FFD1530"/>
    <w:rsid w:val="100803E3"/>
    <w:rsid w:val="10107EE2"/>
    <w:rsid w:val="10254026"/>
    <w:rsid w:val="10DF00C4"/>
    <w:rsid w:val="10F30D4F"/>
    <w:rsid w:val="11366D81"/>
    <w:rsid w:val="11807E2A"/>
    <w:rsid w:val="11EE6664"/>
    <w:rsid w:val="11F16B13"/>
    <w:rsid w:val="12525F8C"/>
    <w:rsid w:val="12623C4F"/>
    <w:rsid w:val="12665E4A"/>
    <w:rsid w:val="12976A25"/>
    <w:rsid w:val="129D3CF0"/>
    <w:rsid w:val="129F04D3"/>
    <w:rsid w:val="12DB7E21"/>
    <w:rsid w:val="12E57A9C"/>
    <w:rsid w:val="12F473B5"/>
    <w:rsid w:val="139E1475"/>
    <w:rsid w:val="13ED3A9C"/>
    <w:rsid w:val="13ED5297"/>
    <w:rsid w:val="13F839D5"/>
    <w:rsid w:val="13FA5DA6"/>
    <w:rsid w:val="13FB562A"/>
    <w:rsid w:val="140A447C"/>
    <w:rsid w:val="141764D8"/>
    <w:rsid w:val="14213D3C"/>
    <w:rsid w:val="14401071"/>
    <w:rsid w:val="14784296"/>
    <w:rsid w:val="147F48F0"/>
    <w:rsid w:val="14C06C44"/>
    <w:rsid w:val="15380C41"/>
    <w:rsid w:val="155D0D94"/>
    <w:rsid w:val="156E58EE"/>
    <w:rsid w:val="15C553EE"/>
    <w:rsid w:val="160C0011"/>
    <w:rsid w:val="16191C86"/>
    <w:rsid w:val="16342209"/>
    <w:rsid w:val="165D570E"/>
    <w:rsid w:val="16763D7F"/>
    <w:rsid w:val="16787116"/>
    <w:rsid w:val="167938D9"/>
    <w:rsid w:val="168309CB"/>
    <w:rsid w:val="16A5691A"/>
    <w:rsid w:val="17042C9F"/>
    <w:rsid w:val="174D139F"/>
    <w:rsid w:val="17584E37"/>
    <w:rsid w:val="17887AF5"/>
    <w:rsid w:val="1790505F"/>
    <w:rsid w:val="17A8794B"/>
    <w:rsid w:val="17B276DC"/>
    <w:rsid w:val="17B42442"/>
    <w:rsid w:val="17BE02A8"/>
    <w:rsid w:val="18077872"/>
    <w:rsid w:val="18642CBE"/>
    <w:rsid w:val="187754F7"/>
    <w:rsid w:val="18831B2A"/>
    <w:rsid w:val="18C64E15"/>
    <w:rsid w:val="18CE39A9"/>
    <w:rsid w:val="18F90B7E"/>
    <w:rsid w:val="190361B5"/>
    <w:rsid w:val="19346421"/>
    <w:rsid w:val="194648C0"/>
    <w:rsid w:val="196B2405"/>
    <w:rsid w:val="197E0806"/>
    <w:rsid w:val="198D01AD"/>
    <w:rsid w:val="199D6146"/>
    <w:rsid w:val="19C45F04"/>
    <w:rsid w:val="1A4158F5"/>
    <w:rsid w:val="1A574B0B"/>
    <w:rsid w:val="1A6140BE"/>
    <w:rsid w:val="1A936D52"/>
    <w:rsid w:val="1B156D7C"/>
    <w:rsid w:val="1B2829FD"/>
    <w:rsid w:val="1B54513C"/>
    <w:rsid w:val="1BF97E6E"/>
    <w:rsid w:val="1C3874FE"/>
    <w:rsid w:val="1C441042"/>
    <w:rsid w:val="1C8812C1"/>
    <w:rsid w:val="1CD021EE"/>
    <w:rsid w:val="1CDB0FCB"/>
    <w:rsid w:val="1CF100EF"/>
    <w:rsid w:val="1CF42459"/>
    <w:rsid w:val="1D1A769C"/>
    <w:rsid w:val="1D357C84"/>
    <w:rsid w:val="1D481C02"/>
    <w:rsid w:val="1D4F454C"/>
    <w:rsid w:val="1D6E53ED"/>
    <w:rsid w:val="1D8657E0"/>
    <w:rsid w:val="1DB11B72"/>
    <w:rsid w:val="1DB91097"/>
    <w:rsid w:val="1DC50D32"/>
    <w:rsid w:val="1DE37B89"/>
    <w:rsid w:val="1E137E36"/>
    <w:rsid w:val="1E344CE3"/>
    <w:rsid w:val="1E5B7964"/>
    <w:rsid w:val="1E981979"/>
    <w:rsid w:val="1EA73CB6"/>
    <w:rsid w:val="1EB60758"/>
    <w:rsid w:val="1EB91D30"/>
    <w:rsid w:val="1F12033A"/>
    <w:rsid w:val="1F475A87"/>
    <w:rsid w:val="1F8103EB"/>
    <w:rsid w:val="1F893D08"/>
    <w:rsid w:val="1FB703D2"/>
    <w:rsid w:val="1FD77947"/>
    <w:rsid w:val="20223532"/>
    <w:rsid w:val="20266820"/>
    <w:rsid w:val="203A6D77"/>
    <w:rsid w:val="203B3346"/>
    <w:rsid w:val="203D131D"/>
    <w:rsid w:val="210F68C7"/>
    <w:rsid w:val="212D1FB0"/>
    <w:rsid w:val="216440C5"/>
    <w:rsid w:val="21797AF0"/>
    <w:rsid w:val="21883370"/>
    <w:rsid w:val="218C04A8"/>
    <w:rsid w:val="21C8483E"/>
    <w:rsid w:val="21F70D7B"/>
    <w:rsid w:val="220677D3"/>
    <w:rsid w:val="22117FE7"/>
    <w:rsid w:val="221F4C6D"/>
    <w:rsid w:val="22402D27"/>
    <w:rsid w:val="22731DB9"/>
    <w:rsid w:val="229C034F"/>
    <w:rsid w:val="22B41EDE"/>
    <w:rsid w:val="22CB1D00"/>
    <w:rsid w:val="22D23A4D"/>
    <w:rsid w:val="231A0CF9"/>
    <w:rsid w:val="237D6951"/>
    <w:rsid w:val="23BB5BCE"/>
    <w:rsid w:val="23D82A9B"/>
    <w:rsid w:val="23E35170"/>
    <w:rsid w:val="24231C88"/>
    <w:rsid w:val="246C524C"/>
    <w:rsid w:val="248860D2"/>
    <w:rsid w:val="24C4434C"/>
    <w:rsid w:val="24DA6CB1"/>
    <w:rsid w:val="24E82738"/>
    <w:rsid w:val="250B01A2"/>
    <w:rsid w:val="25273680"/>
    <w:rsid w:val="25352FB5"/>
    <w:rsid w:val="2544615F"/>
    <w:rsid w:val="25B4463C"/>
    <w:rsid w:val="25D96547"/>
    <w:rsid w:val="25E80C8F"/>
    <w:rsid w:val="25F41CD6"/>
    <w:rsid w:val="26575508"/>
    <w:rsid w:val="26863B26"/>
    <w:rsid w:val="26886183"/>
    <w:rsid w:val="26B640F4"/>
    <w:rsid w:val="26C631AC"/>
    <w:rsid w:val="26F561F8"/>
    <w:rsid w:val="270257B3"/>
    <w:rsid w:val="27572D21"/>
    <w:rsid w:val="27600C48"/>
    <w:rsid w:val="27646A7F"/>
    <w:rsid w:val="277471B3"/>
    <w:rsid w:val="278B676A"/>
    <w:rsid w:val="27AB3266"/>
    <w:rsid w:val="2801426E"/>
    <w:rsid w:val="28124895"/>
    <w:rsid w:val="282A31B7"/>
    <w:rsid w:val="28304374"/>
    <w:rsid w:val="285878DA"/>
    <w:rsid w:val="288758FF"/>
    <w:rsid w:val="28A56A8A"/>
    <w:rsid w:val="28AA4A85"/>
    <w:rsid w:val="28DE786C"/>
    <w:rsid w:val="291B77D2"/>
    <w:rsid w:val="295B3F61"/>
    <w:rsid w:val="29885EBF"/>
    <w:rsid w:val="29BC2108"/>
    <w:rsid w:val="29D724DE"/>
    <w:rsid w:val="2A09685E"/>
    <w:rsid w:val="2A62142C"/>
    <w:rsid w:val="2A631A64"/>
    <w:rsid w:val="2A9B37FB"/>
    <w:rsid w:val="2B315FDB"/>
    <w:rsid w:val="2B4B2A53"/>
    <w:rsid w:val="2B77507A"/>
    <w:rsid w:val="2B857FA8"/>
    <w:rsid w:val="2BEB0F66"/>
    <w:rsid w:val="2BF33A47"/>
    <w:rsid w:val="2C212795"/>
    <w:rsid w:val="2C4273CD"/>
    <w:rsid w:val="2C5E4954"/>
    <w:rsid w:val="2C6E5BBB"/>
    <w:rsid w:val="2CA80312"/>
    <w:rsid w:val="2CC17B5D"/>
    <w:rsid w:val="2CDF645F"/>
    <w:rsid w:val="2CE30832"/>
    <w:rsid w:val="2CEA0218"/>
    <w:rsid w:val="2CF06678"/>
    <w:rsid w:val="2D3D4ECD"/>
    <w:rsid w:val="2D790F80"/>
    <w:rsid w:val="2D947170"/>
    <w:rsid w:val="2DBA4135"/>
    <w:rsid w:val="2DD77BD4"/>
    <w:rsid w:val="2DDF52B6"/>
    <w:rsid w:val="2DF21B7A"/>
    <w:rsid w:val="2E113871"/>
    <w:rsid w:val="2E532E38"/>
    <w:rsid w:val="2E624912"/>
    <w:rsid w:val="2E895913"/>
    <w:rsid w:val="2EB544E3"/>
    <w:rsid w:val="2ED40BDD"/>
    <w:rsid w:val="2F141DB4"/>
    <w:rsid w:val="2F2D365C"/>
    <w:rsid w:val="2F3B275F"/>
    <w:rsid w:val="2F5A2BD1"/>
    <w:rsid w:val="2F86263B"/>
    <w:rsid w:val="2FE017AA"/>
    <w:rsid w:val="30033136"/>
    <w:rsid w:val="3032496E"/>
    <w:rsid w:val="303C4240"/>
    <w:rsid w:val="305200DE"/>
    <w:rsid w:val="309D336E"/>
    <w:rsid w:val="30A32871"/>
    <w:rsid w:val="31055728"/>
    <w:rsid w:val="313D58AA"/>
    <w:rsid w:val="315A2B0B"/>
    <w:rsid w:val="31B218F3"/>
    <w:rsid w:val="326A4583"/>
    <w:rsid w:val="32B163B6"/>
    <w:rsid w:val="32B43D56"/>
    <w:rsid w:val="32BF34CF"/>
    <w:rsid w:val="32D83B8F"/>
    <w:rsid w:val="32D94689"/>
    <w:rsid w:val="32EF19F2"/>
    <w:rsid w:val="333645F4"/>
    <w:rsid w:val="33647B79"/>
    <w:rsid w:val="33971483"/>
    <w:rsid w:val="33DF1C6C"/>
    <w:rsid w:val="33EF6E7B"/>
    <w:rsid w:val="34C63BCA"/>
    <w:rsid w:val="34E272E6"/>
    <w:rsid w:val="353A6387"/>
    <w:rsid w:val="35872B09"/>
    <w:rsid w:val="35AA7E7B"/>
    <w:rsid w:val="35FC010F"/>
    <w:rsid w:val="363B4005"/>
    <w:rsid w:val="36510C0A"/>
    <w:rsid w:val="368C4C3D"/>
    <w:rsid w:val="369E5CC3"/>
    <w:rsid w:val="36BB7E5B"/>
    <w:rsid w:val="36F8626B"/>
    <w:rsid w:val="370108EF"/>
    <w:rsid w:val="378E6488"/>
    <w:rsid w:val="37C964C5"/>
    <w:rsid w:val="37FD1049"/>
    <w:rsid w:val="380235BE"/>
    <w:rsid w:val="381E33FF"/>
    <w:rsid w:val="38577833"/>
    <w:rsid w:val="386773D3"/>
    <w:rsid w:val="38DA2461"/>
    <w:rsid w:val="390242DC"/>
    <w:rsid w:val="39716ED1"/>
    <w:rsid w:val="39F24A8A"/>
    <w:rsid w:val="3A2212BD"/>
    <w:rsid w:val="3A2325AC"/>
    <w:rsid w:val="3A2F28E6"/>
    <w:rsid w:val="3A3B16E2"/>
    <w:rsid w:val="3A556ADC"/>
    <w:rsid w:val="3A69227E"/>
    <w:rsid w:val="3AC339C1"/>
    <w:rsid w:val="3ADE6CE3"/>
    <w:rsid w:val="3B5064F3"/>
    <w:rsid w:val="3B6C1F11"/>
    <w:rsid w:val="3B77053E"/>
    <w:rsid w:val="3B8C61CB"/>
    <w:rsid w:val="3B9005DF"/>
    <w:rsid w:val="3BA915D8"/>
    <w:rsid w:val="3BC93ED3"/>
    <w:rsid w:val="3C1756E5"/>
    <w:rsid w:val="3C2B1583"/>
    <w:rsid w:val="3C3D530E"/>
    <w:rsid w:val="3C584467"/>
    <w:rsid w:val="3C8727B0"/>
    <w:rsid w:val="3CB33157"/>
    <w:rsid w:val="3CB860BA"/>
    <w:rsid w:val="3CDC603F"/>
    <w:rsid w:val="3CDD7379"/>
    <w:rsid w:val="3D117E3C"/>
    <w:rsid w:val="3D3E7CE4"/>
    <w:rsid w:val="3D703AF6"/>
    <w:rsid w:val="3DAD6EB1"/>
    <w:rsid w:val="3DE53B31"/>
    <w:rsid w:val="3EB40668"/>
    <w:rsid w:val="3EF64AE3"/>
    <w:rsid w:val="3F3115D8"/>
    <w:rsid w:val="3F437D1B"/>
    <w:rsid w:val="3F8219DA"/>
    <w:rsid w:val="3FDF22C2"/>
    <w:rsid w:val="3FFB0C03"/>
    <w:rsid w:val="400D03F2"/>
    <w:rsid w:val="40587DDF"/>
    <w:rsid w:val="40676D6D"/>
    <w:rsid w:val="40717AF0"/>
    <w:rsid w:val="408D7BCC"/>
    <w:rsid w:val="40C041FF"/>
    <w:rsid w:val="40EE1C24"/>
    <w:rsid w:val="40FA33A6"/>
    <w:rsid w:val="40FF3F7B"/>
    <w:rsid w:val="410F6310"/>
    <w:rsid w:val="42195CE2"/>
    <w:rsid w:val="42592C9D"/>
    <w:rsid w:val="42995CD7"/>
    <w:rsid w:val="42BD5538"/>
    <w:rsid w:val="42CA22A0"/>
    <w:rsid w:val="43027B95"/>
    <w:rsid w:val="43363E66"/>
    <w:rsid w:val="43555B95"/>
    <w:rsid w:val="435E03A3"/>
    <w:rsid w:val="43836EF5"/>
    <w:rsid w:val="438F4FA7"/>
    <w:rsid w:val="43D004FF"/>
    <w:rsid w:val="4411106A"/>
    <w:rsid w:val="44182071"/>
    <w:rsid w:val="44555CAA"/>
    <w:rsid w:val="447A21C5"/>
    <w:rsid w:val="44B264BD"/>
    <w:rsid w:val="44C5628F"/>
    <w:rsid w:val="44CE745D"/>
    <w:rsid w:val="44DC27C7"/>
    <w:rsid w:val="452B3A84"/>
    <w:rsid w:val="45674CF9"/>
    <w:rsid w:val="45F8648D"/>
    <w:rsid w:val="45FA66ED"/>
    <w:rsid w:val="4600626E"/>
    <w:rsid w:val="460316DC"/>
    <w:rsid w:val="46151F9E"/>
    <w:rsid w:val="46945EB6"/>
    <w:rsid w:val="469E29D7"/>
    <w:rsid w:val="46D416F2"/>
    <w:rsid w:val="46E93B2A"/>
    <w:rsid w:val="471F1D45"/>
    <w:rsid w:val="47702D47"/>
    <w:rsid w:val="47727526"/>
    <w:rsid w:val="47960A00"/>
    <w:rsid w:val="479F052B"/>
    <w:rsid w:val="47D30D4D"/>
    <w:rsid w:val="47FA3980"/>
    <w:rsid w:val="480C1D96"/>
    <w:rsid w:val="48113C40"/>
    <w:rsid w:val="486815C5"/>
    <w:rsid w:val="488B41BD"/>
    <w:rsid w:val="48CF7312"/>
    <w:rsid w:val="48E50C8A"/>
    <w:rsid w:val="49733AA9"/>
    <w:rsid w:val="49991B95"/>
    <w:rsid w:val="49BE6932"/>
    <w:rsid w:val="49E83A8B"/>
    <w:rsid w:val="49EE0A67"/>
    <w:rsid w:val="4A0432F1"/>
    <w:rsid w:val="4A2C1D70"/>
    <w:rsid w:val="4A325081"/>
    <w:rsid w:val="4A372EE3"/>
    <w:rsid w:val="4A6B04F9"/>
    <w:rsid w:val="4A6F5DBC"/>
    <w:rsid w:val="4AA03DDC"/>
    <w:rsid w:val="4AC37E5D"/>
    <w:rsid w:val="4ACE4B86"/>
    <w:rsid w:val="4B531D99"/>
    <w:rsid w:val="4B5F17AE"/>
    <w:rsid w:val="4B6C1BEF"/>
    <w:rsid w:val="4BC46062"/>
    <w:rsid w:val="4BD9454C"/>
    <w:rsid w:val="4BE82B0B"/>
    <w:rsid w:val="4C0A67A9"/>
    <w:rsid w:val="4C1F2834"/>
    <w:rsid w:val="4C5D1F60"/>
    <w:rsid w:val="4C5E1924"/>
    <w:rsid w:val="4C73214C"/>
    <w:rsid w:val="4CB954C3"/>
    <w:rsid w:val="4CFD0507"/>
    <w:rsid w:val="4D053118"/>
    <w:rsid w:val="4D0E265F"/>
    <w:rsid w:val="4D490FFB"/>
    <w:rsid w:val="4D4E1A50"/>
    <w:rsid w:val="4D7F0343"/>
    <w:rsid w:val="4D861A82"/>
    <w:rsid w:val="4D9F0A4B"/>
    <w:rsid w:val="4DB81171"/>
    <w:rsid w:val="4DD36210"/>
    <w:rsid w:val="4E100CED"/>
    <w:rsid w:val="4E177BB3"/>
    <w:rsid w:val="4E2629AB"/>
    <w:rsid w:val="4E370A78"/>
    <w:rsid w:val="4E8E6B3E"/>
    <w:rsid w:val="4EC41920"/>
    <w:rsid w:val="4F0B6433"/>
    <w:rsid w:val="4F373FB9"/>
    <w:rsid w:val="4F3920BC"/>
    <w:rsid w:val="4F3F7503"/>
    <w:rsid w:val="4F5410DE"/>
    <w:rsid w:val="4F5F75A8"/>
    <w:rsid w:val="4F956DD4"/>
    <w:rsid w:val="4FE17CE1"/>
    <w:rsid w:val="4FE5593B"/>
    <w:rsid w:val="50217BD0"/>
    <w:rsid w:val="5037785D"/>
    <w:rsid w:val="50444FA1"/>
    <w:rsid w:val="50CB2046"/>
    <w:rsid w:val="510A1BE3"/>
    <w:rsid w:val="512B741D"/>
    <w:rsid w:val="51EA05BF"/>
    <w:rsid w:val="522E4DA7"/>
    <w:rsid w:val="523201A3"/>
    <w:rsid w:val="52350370"/>
    <w:rsid w:val="525810E0"/>
    <w:rsid w:val="52D56B38"/>
    <w:rsid w:val="530C3639"/>
    <w:rsid w:val="531B06FF"/>
    <w:rsid w:val="533C4F9B"/>
    <w:rsid w:val="53550AFB"/>
    <w:rsid w:val="53575B65"/>
    <w:rsid w:val="53627B39"/>
    <w:rsid w:val="53B07B6A"/>
    <w:rsid w:val="53BB0AA9"/>
    <w:rsid w:val="53F175EB"/>
    <w:rsid w:val="541C08CF"/>
    <w:rsid w:val="541D028E"/>
    <w:rsid w:val="54241A2E"/>
    <w:rsid w:val="542A222C"/>
    <w:rsid w:val="54460186"/>
    <w:rsid w:val="546F60F7"/>
    <w:rsid w:val="54745E16"/>
    <w:rsid w:val="553159E0"/>
    <w:rsid w:val="55774F66"/>
    <w:rsid w:val="55A20220"/>
    <w:rsid w:val="55BC132F"/>
    <w:rsid w:val="56204270"/>
    <w:rsid w:val="56397083"/>
    <w:rsid w:val="563E606B"/>
    <w:rsid w:val="5668464E"/>
    <w:rsid w:val="567D44B4"/>
    <w:rsid w:val="56F03342"/>
    <w:rsid w:val="56F27E2B"/>
    <w:rsid w:val="57824827"/>
    <w:rsid w:val="579F140D"/>
    <w:rsid w:val="57C15008"/>
    <w:rsid w:val="57F65408"/>
    <w:rsid w:val="57F92128"/>
    <w:rsid w:val="58066359"/>
    <w:rsid w:val="586532A6"/>
    <w:rsid w:val="587515F8"/>
    <w:rsid w:val="58D33E2D"/>
    <w:rsid w:val="58FE72D7"/>
    <w:rsid w:val="58FF152E"/>
    <w:rsid w:val="5901444B"/>
    <w:rsid w:val="5942752B"/>
    <w:rsid w:val="595670BA"/>
    <w:rsid w:val="59853ACA"/>
    <w:rsid w:val="59AE2371"/>
    <w:rsid w:val="59EB75D5"/>
    <w:rsid w:val="5A150CDD"/>
    <w:rsid w:val="5A8E5834"/>
    <w:rsid w:val="5A8E69A6"/>
    <w:rsid w:val="5AA44CE1"/>
    <w:rsid w:val="5AAF6973"/>
    <w:rsid w:val="5AB22E9F"/>
    <w:rsid w:val="5AB8200A"/>
    <w:rsid w:val="5AEE100B"/>
    <w:rsid w:val="5B037985"/>
    <w:rsid w:val="5B184604"/>
    <w:rsid w:val="5B2E3521"/>
    <w:rsid w:val="5B494ED2"/>
    <w:rsid w:val="5B8F2438"/>
    <w:rsid w:val="5BC529A5"/>
    <w:rsid w:val="5BF313C0"/>
    <w:rsid w:val="5C0133A4"/>
    <w:rsid w:val="5C424792"/>
    <w:rsid w:val="5C976B81"/>
    <w:rsid w:val="5CC8167F"/>
    <w:rsid w:val="5CD67E3A"/>
    <w:rsid w:val="5CF36B53"/>
    <w:rsid w:val="5CFD3B49"/>
    <w:rsid w:val="5D002812"/>
    <w:rsid w:val="5D0C7529"/>
    <w:rsid w:val="5D255A8E"/>
    <w:rsid w:val="5D343363"/>
    <w:rsid w:val="5D3809A5"/>
    <w:rsid w:val="5D4035AC"/>
    <w:rsid w:val="5D5916B4"/>
    <w:rsid w:val="5D90636E"/>
    <w:rsid w:val="5DA33D02"/>
    <w:rsid w:val="5DAD28F0"/>
    <w:rsid w:val="5DB2027F"/>
    <w:rsid w:val="5DDD0E1C"/>
    <w:rsid w:val="5DE321F7"/>
    <w:rsid w:val="5DE35A45"/>
    <w:rsid w:val="5E2856D7"/>
    <w:rsid w:val="5E7D6942"/>
    <w:rsid w:val="5E80013F"/>
    <w:rsid w:val="5EC77C03"/>
    <w:rsid w:val="5ED348CD"/>
    <w:rsid w:val="5F5C3D56"/>
    <w:rsid w:val="5F964547"/>
    <w:rsid w:val="5FE7695D"/>
    <w:rsid w:val="5FEF6C17"/>
    <w:rsid w:val="603168CE"/>
    <w:rsid w:val="605D168C"/>
    <w:rsid w:val="60905CD0"/>
    <w:rsid w:val="61237172"/>
    <w:rsid w:val="615E6A49"/>
    <w:rsid w:val="61835D93"/>
    <w:rsid w:val="61EF15D1"/>
    <w:rsid w:val="61FC76DB"/>
    <w:rsid w:val="62067539"/>
    <w:rsid w:val="6279194A"/>
    <w:rsid w:val="628C38CD"/>
    <w:rsid w:val="629E2624"/>
    <w:rsid w:val="62C959BD"/>
    <w:rsid w:val="632A6334"/>
    <w:rsid w:val="633912A0"/>
    <w:rsid w:val="634248FA"/>
    <w:rsid w:val="636D670B"/>
    <w:rsid w:val="637E5B7F"/>
    <w:rsid w:val="63981DEF"/>
    <w:rsid w:val="63AC3DF3"/>
    <w:rsid w:val="63D5308E"/>
    <w:rsid w:val="63F15476"/>
    <w:rsid w:val="644561CB"/>
    <w:rsid w:val="644A73FC"/>
    <w:rsid w:val="645D4E38"/>
    <w:rsid w:val="648B6696"/>
    <w:rsid w:val="64B46945"/>
    <w:rsid w:val="64B65D23"/>
    <w:rsid w:val="64C5585B"/>
    <w:rsid w:val="65A545C1"/>
    <w:rsid w:val="65C368EE"/>
    <w:rsid w:val="662936D8"/>
    <w:rsid w:val="66431408"/>
    <w:rsid w:val="66513EB1"/>
    <w:rsid w:val="666D5D2E"/>
    <w:rsid w:val="66BB2730"/>
    <w:rsid w:val="66BB5946"/>
    <w:rsid w:val="66C5128A"/>
    <w:rsid w:val="66E867E3"/>
    <w:rsid w:val="67173040"/>
    <w:rsid w:val="67516256"/>
    <w:rsid w:val="67635852"/>
    <w:rsid w:val="678B1336"/>
    <w:rsid w:val="67C747D5"/>
    <w:rsid w:val="6806574C"/>
    <w:rsid w:val="681B57BA"/>
    <w:rsid w:val="6892616C"/>
    <w:rsid w:val="68D57064"/>
    <w:rsid w:val="69413DB5"/>
    <w:rsid w:val="69AC37AE"/>
    <w:rsid w:val="69D84E25"/>
    <w:rsid w:val="69FF59DE"/>
    <w:rsid w:val="6A612AE7"/>
    <w:rsid w:val="6A6A7F3F"/>
    <w:rsid w:val="6A743809"/>
    <w:rsid w:val="6A8A1AE4"/>
    <w:rsid w:val="6A9519AA"/>
    <w:rsid w:val="6AB62196"/>
    <w:rsid w:val="6AC92BF9"/>
    <w:rsid w:val="6B1E5610"/>
    <w:rsid w:val="6B2762C7"/>
    <w:rsid w:val="6B501D96"/>
    <w:rsid w:val="6B6935DF"/>
    <w:rsid w:val="6B6C3DF2"/>
    <w:rsid w:val="6B6C53EA"/>
    <w:rsid w:val="6BED28C6"/>
    <w:rsid w:val="6BF739E2"/>
    <w:rsid w:val="6C0B5EA4"/>
    <w:rsid w:val="6C4F5C67"/>
    <w:rsid w:val="6C9B3BED"/>
    <w:rsid w:val="6CB6281D"/>
    <w:rsid w:val="6CCC131B"/>
    <w:rsid w:val="6CE10FEB"/>
    <w:rsid w:val="6CF05300"/>
    <w:rsid w:val="6D3225BD"/>
    <w:rsid w:val="6D727B77"/>
    <w:rsid w:val="6D951BFD"/>
    <w:rsid w:val="6DC259D2"/>
    <w:rsid w:val="6DE06BFF"/>
    <w:rsid w:val="6DFD2725"/>
    <w:rsid w:val="6E204ED5"/>
    <w:rsid w:val="6E4F2609"/>
    <w:rsid w:val="6E5F75C3"/>
    <w:rsid w:val="6E6D675C"/>
    <w:rsid w:val="6E936A35"/>
    <w:rsid w:val="6EAB2C5A"/>
    <w:rsid w:val="6ECF412A"/>
    <w:rsid w:val="6EFC4F41"/>
    <w:rsid w:val="6F4B6E4B"/>
    <w:rsid w:val="6F6749D2"/>
    <w:rsid w:val="6F7027D5"/>
    <w:rsid w:val="6F927184"/>
    <w:rsid w:val="6F940881"/>
    <w:rsid w:val="6FA56FF6"/>
    <w:rsid w:val="6FB66024"/>
    <w:rsid w:val="6FC64644"/>
    <w:rsid w:val="70016519"/>
    <w:rsid w:val="701D3ADF"/>
    <w:rsid w:val="70337A80"/>
    <w:rsid w:val="709C49FB"/>
    <w:rsid w:val="70E65DF4"/>
    <w:rsid w:val="70EC25AE"/>
    <w:rsid w:val="70F57CB8"/>
    <w:rsid w:val="71086E3E"/>
    <w:rsid w:val="714864EF"/>
    <w:rsid w:val="715D4D88"/>
    <w:rsid w:val="7173153D"/>
    <w:rsid w:val="71A25E05"/>
    <w:rsid w:val="71AF7D80"/>
    <w:rsid w:val="71F37239"/>
    <w:rsid w:val="72540AC6"/>
    <w:rsid w:val="72546835"/>
    <w:rsid w:val="726A5051"/>
    <w:rsid w:val="72873637"/>
    <w:rsid w:val="72CF6386"/>
    <w:rsid w:val="72E35507"/>
    <w:rsid w:val="732C0812"/>
    <w:rsid w:val="73927F4D"/>
    <w:rsid w:val="73CE61E7"/>
    <w:rsid w:val="73D57174"/>
    <w:rsid w:val="73E3200E"/>
    <w:rsid w:val="740050DA"/>
    <w:rsid w:val="74104066"/>
    <w:rsid w:val="74466C06"/>
    <w:rsid w:val="74577D87"/>
    <w:rsid w:val="7467438E"/>
    <w:rsid w:val="747A1A66"/>
    <w:rsid w:val="748C1E53"/>
    <w:rsid w:val="74966937"/>
    <w:rsid w:val="74CB71C9"/>
    <w:rsid w:val="74DF4705"/>
    <w:rsid w:val="74FB120E"/>
    <w:rsid w:val="75380A7D"/>
    <w:rsid w:val="753C6791"/>
    <w:rsid w:val="75430E8E"/>
    <w:rsid w:val="75A13E0D"/>
    <w:rsid w:val="75FF7BE0"/>
    <w:rsid w:val="76067790"/>
    <w:rsid w:val="760E27AF"/>
    <w:rsid w:val="766375A0"/>
    <w:rsid w:val="76643AE7"/>
    <w:rsid w:val="76E238F8"/>
    <w:rsid w:val="76F52802"/>
    <w:rsid w:val="76FE3D14"/>
    <w:rsid w:val="7725323B"/>
    <w:rsid w:val="774F6AEC"/>
    <w:rsid w:val="7783050A"/>
    <w:rsid w:val="77C0488E"/>
    <w:rsid w:val="77EA15EF"/>
    <w:rsid w:val="77F474F7"/>
    <w:rsid w:val="77F712F1"/>
    <w:rsid w:val="784C36A9"/>
    <w:rsid w:val="78CE2BDB"/>
    <w:rsid w:val="78FE4077"/>
    <w:rsid w:val="792527F2"/>
    <w:rsid w:val="794D7D18"/>
    <w:rsid w:val="7A572D1E"/>
    <w:rsid w:val="7A613E84"/>
    <w:rsid w:val="7AE43FDB"/>
    <w:rsid w:val="7AF3113C"/>
    <w:rsid w:val="7AFB1607"/>
    <w:rsid w:val="7B010188"/>
    <w:rsid w:val="7B010E42"/>
    <w:rsid w:val="7B2C4649"/>
    <w:rsid w:val="7B5D407E"/>
    <w:rsid w:val="7B665B30"/>
    <w:rsid w:val="7BAE2324"/>
    <w:rsid w:val="7BBF1980"/>
    <w:rsid w:val="7BC3772C"/>
    <w:rsid w:val="7BD94C01"/>
    <w:rsid w:val="7BFB3FD5"/>
    <w:rsid w:val="7C0563EE"/>
    <w:rsid w:val="7C652372"/>
    <w:rsid w:val="7C7D7EC0"/>
    <w:rsid w:val="7D2472B5"/>
    <w:rsid w:val="7D3C1A0C"/>
    <w:rsid w:val="7D3D0F45"/>
    <w:rsid w:val="7D4E6646"/>
    <w:rsid w:val="7D5A1922"/>
    <w:rsid w:val="7D5E0A03"/>
    <w:rsid w:val="7D7A1C50"/>
    <w:rsid w:val="7D98247F"/>
    <w:rsid w:val="7DC4305F"/>
    <w:rsid w:val="7DD32F6D"/>
    <w:rsid w:val="7DD703D0"/>
    <w:rsid w:val="7DE2414A"/>
    <w:rsid w:val="7DED2BA6"/>
    <w:rsid w:val="7E2631AC"/>
    <w:rsid w:val="7E516C7B"/>
    <w:rsid w:val="7E555040"/>
    <w:rsid w:val="7E747A41"/>
    <w:rsid w:val="7EB14EDF"/>
    <w:rsid w:val="7EB20149"/>
    <w:rsid w:val="7EB309FF"/>
    <w:rsid w:val="7EC1637A"/>
    <w:rsid w:val="7ECA2BB2"/>
    <w:rsid w:val="7F0C781D"/>
    <w:rsid w:val="7F9F35F9"/>
    <w:rsid w:val="7FAB26F0"/>
    <w:rsid w:val="7FD14230"/>
    <w:rsid w:val="7FEB4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ind w:firstLine="200" w:firstLineChars="200"/>
      <w:jc w:val="both"/>
    </w:pPr>
    <w:rPr>
      <w:rFonts w:ascii="Tahoma" w:hAnsi="Tahoma" w:eastAsia="宋体" w:cstheme="minorBidi"/>
      <w:sz w:val="28"/>
      <w:szCs w:val="22"/>
      <w:lang w:val="en-US" w:eastAsia="zh-CN" w:bidi="ar-SA"/>
    </w:rPr>
  </w:style>
  <w:style w:type="paragraph" w:styleId="5">
    <w:name w:val="heading 1"/>
    <w:basedOn w:val="1"/>
    <w:next w:val="1"/>
    <w:link w:val="29"/>
    <w:qFormat/>
    <w:uiPriority w:val="9"/>
    <w:pPr>
      <w:keepNext/>
      <w:keepLines/>
      <w:ind w:firstLine="0" w:firstLineChars="0"/>
      <w:jc w:val="center"/>
      <w:outlineLvl w:val="0"/>
    </w:pPr>
    <w:rPr>
      <w:b/>
      <w:bCs/>
      <w:kern w:val="44"/>
      <w:sz w:val="32"/>
      <w:szCs w:val="44"/>
    </w:rPr>
  </w:style>
  <w:style w:type="paragraph" w:styleId="6">
    <w:name w:val="heading 2"/>
    <w:basedOn w:val="1"/>
    <w:next w:val="1"/>
    <w:link w:val="30"/>
    <w:unhideWhenUsed/>
    <w:qFormat/>
    <w:uiPriority w:val="9"/>
    <w:pPr>
      <w:keepNext/>
      <w:keepLines/>
      <w:ind w:firstLine="0" w:firstLineChars="0"/>
      <w:outlineLvl w:val="1"/>
    </w:pPr>
    <w:rPr>
      <w:rFonts w:asciiTheme="majorHAnsi" w:hAnsiTheme="majorHAnsi" w:cstheme="majorBidi"/>
      <w:b/>
      <w:bCs/>
      <w:sz w:val="30"/>
      <w:szCs w:val="32"/>
    </w:rPr>
  </w:style>
  <w:style w:type="paragraph" w:styleId="7">
    <w:name w:val="heading 3"/>
    <w:basedOn w:val="1"/>
    <w:next w:val="1"/>
    <w:link w:val="31"/>
    <w:unhideWhenUsed/>
    <w:qFormat/>
    <w:uiPriority w:val="9"/>
    <w:pPr>
      <w:keepNext/>
      <w:keepLines/>
      <w:ind w:firstLine="562"/>
      <w:outlineLvl w:val="2"/>
    </w:pPr>
    <w:rPr>
      <w:b/>
      <w:bCs/>
      <w:szCs w:val="32"/>
    </w:rPr>
  </w:style>
  <w:style w:type="paragraph" w:styleId="8">
    <w:name w:val="heading 4"/>
    <w:basedOn w:val="1"/>
    <w:next w:val="1"/>
    <w:qFormat/>
    <w:uiPriority w:val="1"/>
    <w:pPr>
      <w:ind w:left="431"/>
      <w:outlineLvl w:val="4"/>
    </w:pPr>
    <w:rPr>
      <w:rFonts w:ascii="微软雅黑" w:hAnsi="微软雅黑" w:eastAsia="微软雅黑" w:cs="微软雅黑"/>
      <w:b/>
      <w:bCs/>
      <w:sz w:val="24"/>
      <w:szCs w:val="24"/>
      <w:u w:val="single" w:color="000000"/>
      <w:lang w:val="zh-CN" w:eastAsia="zh-CN" w:bidi="zh-CN"/>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pPr>
    <w:rPr>
      <w:rFonts w:ascii="Times New Roman" w:hAnsi="Times New Roman"/>
    </w:rPr>
  </w:style>
  <w:style w:type="paragraph" w:styleId="3">
    <w:name w:val="Body Text Indent"/>
    <w:basedOn w:val="1"/>
    <w:next w:val="4"/>
    <w:link w:val="65"/>
    <w:semiHidden/>
    <w:unhideWhenUsed/>
    <w:qFormat/>
    <w:uiPriority w:val="99"/>
    <w:pPr>
      <w:spacing w:after="120"/>
      <w:ind w:left="420" w:leftChars="200"/>
    </w:pPr>
  </w:style>
  <w:style w:type="paragraph" w:styleId="4">
    <w:name w:val="Body Text"/>
    <w:basedOn w:val="1"/>
    <w:link w:val="57"/>
    <w:unhideWhenUsed/>
    <w:qFormat/>
    <w:uiPriority w:val="0"/>
    <w:pPr>
      <w:spacing w:line="500" w:lineRule="exact"/>
    </w:pPr>
    <w:rPr>
      <w:rFonts w:ascii="仿宋_GB2312" w:eastAsia="楷体_GB2312"/>
      <w:szCs w:val="28"/>
    </w:rPr>
  </w:style>
  <w:style w:type="paragraph" w:styleId="9">
    <w:name w:val="Normal Indent"/>
    <w:basedOn w:val="1"/>
    <w:qFormat/>
    <w:uiPriority w:val="0"/>
    <w:pPr>
      <w:spacing w:line="500" w:lineRule="exact"/>
    </w:pPr>
    <w:rPr>
      <w:szCs w:val="20"/>
    </w:rPr>
  </w:style>
  <w:style w:type="paragraph" w:styleId="10">
    <w:name w:val="toc 3"/>
    <w:basedOn w:val="1"/>
    <w:next w:val="1"/>
    <w:unhideWhenUsed/>
    <w:qFormat/>
    <w:uiPriority w:val="39"/>
    <w:pPr>
      <w:ind w:left="840" w:leftChars="400"/>
    </w:pPr>
  </w:style>
  <w:style w:type="paragraph" w:styleId="11">
    <w:name w:val="Plain Text"/>
    <w:basedOn w:val="1"/>
    <w:qFormat/>
    <w:uiPriority w:val="0"/>
    <w:rPr>
      <w:rFonts w:ascii="宋体" w:hAnsi="Courier New"/>
    </w:rPr>
  </w:style>
  <w:style w:type="paragraph" w:styleId="12">
    <w:name w:val="Date"/>
    <w:basedOn w:val="1"/>
    <w:next w:val="1"/>
    <w:link w:val="28"/>
    <w:semiHidden/>
    <w:unhideWhenUsed/>
    <w:qFormat/>
    <w:uiPriority w:val="99"/>
    <w:pPr>
      <w:ind w:left="100" w:leftChars="2500"/>
    </w:pPr>
  </w:style>
  <w:style w:type="paragraph" w:styleId="13">
    <w:name w:val="Balloon Text"/>
    <w:basedOn w:val="1"/>
    <w:link w:val="32"/>
    <w:semiHidden/>
    <w:unhideWhenUsed/>
    <w:qFormat/>
    <w:uiPriority w:val="99"/>
    <w:pPr>
      <w:spacing w:line="240" w:lineRule="auto"/>
    </w:pPr>
    <w:rPr>
      <w:sz w:val="18"/>
      <w:szCs w:val="18"/>
    </w:rPr>
  </w:style>
  <w:style w:type="paragraph" w:styleId="14">
    <w:name w:val="footer"/>
    <w:basedOn w:val="1"/>
    <w:link w:val="37"/>
    <w:unhideWhenUsed/>
    <w:qFormat/>
    <w:uiPriority w:val="99"/>
    <w:pPr>
      <w:tabs>
        <w:tab w:val="center" w:pos="4153"/>
        <w:tab w:val="right" w:pos="8306"/>
      </w:tabs>
      <w:spacing w:line="240" w:lineRule="auto"/>
    </w:pPr>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16">
    <w:name w:val="toc 1"/>
    <w:basedOn w:val="1"/>
    <w:next w:val="1"/>
    <w:unhideWhenUsed/>
    <w:qFormat/>
    <w:uiPriority w:val="39"/>
    <w:pPr>
      <w:tabs>
        <w:tab w:val="right" w:leader="dot" w:pos="8296"/>
      </w:tabs>
      <w:ind w:firstLine="0" w:firstLineChars="0"/>
    </w:pPr>
    <w:rPr>
      <w:rFonts w:ascii="Times New Roman" w:hAnsi="Times New Roman" w:cs="Times New Roman"/>
      <w:b/>
    </w:rPr>
  </w:style>
  <w:style w:type="paragraph" w:styleId="17">
    <w:name w:val="List"/>
    <w:basedOn w:val="1"/>
    <w:next w:val="1"/>
    <w:qFormat/>
    <w:uiPriority w:val="0"/>
    <w:pPr>
      <w:autoSpaceDE w:val="0"/>
      <w:autoSpaceDN w:val="0"/>
      <w:spacing w:line="280" w:lineRule="exact"/>
      <w:jc w:val="left"/>
    </w:pPr>
    <w:rPr>
      <w:szCs w:val="20"/>
    </w:rPr>
  </w:style>
  <w:style w:type="paragraph" w:styleId="18">
    <w:name w:val="table of figures"/>
    <w:basedOn w:val="1"/>
    <w:next w:val="1"/>
    <w:qFormat/>
    <w:uiPriority w:val="0"/>
    <w:pPr>
      <w:ind w:left="200" w:leftChars="200" w:hanging="200" w:hangingChars="200"/>
    </w:pPr>
  </w:style>
  <w:style w:type="paragraph" w:styleId="19">
    <w:name w:val="toc 2"/>
    <w:basedOn w:val="1"/>
    <w:next w:val="1"/>
    <w:unhideWhenUsed/>
    <w:qFormat/>
    <w:uiPriority w:val="39"/>
    <w:pPr>
      <w:ind w:left="420" w:leftChars="200"/>
    </w:pPr>
  </w:style>
  <w:style w:type="paragraph" w:styleId="2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basedOn w:val="23"/>
    <w:unhideWhenUsed/>
    <w:qFormat/>
    <w:uiPriority w:val="99"/>
    <w:rPr>
      <w:color w:val="0000FF" w:themeColor="hyperlink"/>
      <w:u w:val="single"/>
      <w14:textFill>
        <w14:solidFill>
          <w14:schemeClr w14:val="hlink"/>
        </w14:solidFill>
      </w14:textFill>
    </w:rPr>
  </w:style>
  <w:style w:type="character" w:styleId="26">
    <w:name w:val="annotation reference"/>
    <w:semiHidden/>
    <w:qFormat/>
    <w:uiPriority w:val="0"/>
    <w:rPr>
      <w:sz w:val="21"/>
      <w:szCs w:val="21"/>
    </w:r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8">
    <w:name w:val="日期 字符"/>
    <w:basedOn w:val="23"/>
    <w:link w:val="12"/>
    <w:semiHidden/>
    <w:qFormat/>
    <w:uiPriority w:val="99"/>
    <w:rPr>
      <w:rFonts w:ascii="Tahoma" w:hAnsi="Tahoma"/>
    </w:rPr>
  </w:style>
  <w:style w:type="character" w:customStyle="1" w:styleId="29">
    <w:name w:val="标题 1 字符"/>
    <w:basedOn w:val="23"/>
    <w:link w:val="5"/>
    <w:qFormat/>
    <w:uiPriority w:val="9"/>
    <w:rPr>
      <w:rFonts w:ascii="Tahoma" w:hAnsi="Tahoma" w:cstheme="minorBidi"/>
      <w:b/>
      <w:bCs/>
      <w:kern w:val="44"/>
      <w:sz w:val="32"/>
      <w:szCs w:val="44"/>
    </w:rPr>
  </w:style>
  <w:style w:type="character" w:customStyle="1" w:styleId="30">
    <w:name w:val="标题 2 字符"/>
    <w:basedOn w:val="23"/>
    <w:link w:val="6"/>
    <w:qFormat/>
    <w:uiPriority w:val="9"/>
    <w:rPr>
      <w:rFonts w:asciiTheme="majorHAnsi" w:hAnsiTheme="majorHAnsi" w:cstheme="majorBidi"/>
      <w:b/>
      <w:bCs/>
      <w:sz w:val="30"/>
      <w:szCs w:val="32"/>
    </w:rPr>
  </w:style>
  <w:style w:type="character" w:customStyle="1" w:styleId="31">
    <w:name w:val="标题 3 字符"/>
    <w:basedOn w:val="23"/>
    <w:link w:val="7"/>
    <w:qFormat/>
    <w:uiPriority w:val="9"/>
    <w:rPr>
      <w:rFonts w:ascii="Tahoma" w:hAnsi="Tahoma" w:cstheme="minorBidi"/>
      <w:b/>
      <w:bCs/>
      <w:sz w:val="28"/>
      <w:szCs w:val="32"/>
    </w:rPr>
  </w:style>
  <w:style w:type="character" w:customStyle="1" w:styleId="32">
    <w:name w:val="批注框文本 字符"/>
    <w:basedOn w:val="23"/>
    <w:link w:val="13"/>
    <w:semiHidden/>
    <w:qFormat/>
    <w:uiPriority w:val="99"/>
    <w:rPr>
      <w:rFonts w:ascii="Tahoma" w:hAnsi="Tahoma" w:eastAsia="宋体"/>
      <w:sz w:val="18"/>
      <w:szCs w:val="18"/>
    </w:rPr>
  </w:style>
  <w:style w:type="paragraph" w:customStyle="1" w:styleId="33">
    <w:name w:val="Char Char Char Char Char Char Char"/>
    <w:basedOn w:val="1"/>
    <w:qFormat/>
    <w:uiPriority w:val="0"/>
    <w:pPr>
      <w:adjustRightInd/>
      <w:snapToGrid/>
      <w:spacing w:after="160" w:line="240" w:lineRule="exact"/>
      <w:ind w:firstLine="0" w:firstLineChars="0"/>
    </w:pPr>
    <w:rPr>
      <w:rFonts w:ascii="Verdana" w:hAnsi="Verdana" w:cs="Times New Roman"/>
      <w:sz w:val="20"/>
      <w:szCs w:val="20"/>
      <w:lang w:eastAsia="en-US"/>
    </w:rPr>
  </w:style>
  <w:style w:type="paragraph" w:customStyle="1" w:styleId="34">
    <w:name w:val="Char Char Char Char Char Char Char1"/>
    <w:basedOn w:val="1"/>
    <w:qFormat/>
    <w:uiPriority w:val="0"/>
    <w:pPr>
      <w:adjustRightInd/>
      <w:snapToGrid/>
      <w:spacing w:after="160" w:line="240" w:lineRule="exact"/>
      <w:ind w:firstLine="0" w:firstLineChars="0"/>
    </w:pPr>
    <w:rPr>
      <w:rFonts w:ascii="Verdana" w:hAnsi="Verdana" w:cs="Times New Roman"/>
      <w:sz w:val="20"/>
      <w:szCs w:val="20"/>
      <w:lang w:eastAsia="en-US"/>
    </w:rPr>
  </w:style>
  <w:style w:type="paragraph" w:styleId="35">
    <w:name w:val="List Paragraph"/>
    <w:basedOn w:val="1"/>
    <w:qFormat/>
    <w:uiPriority w:val="34"/>
    <w:pPr>
      <w:ind w:firstLine="420"/>
    </w:pPr>
  </w:style>
  <w:style w:type="character" w:customStyle="1" w:styleId="36">
    <w:name w:val="页眉 字符"/>
    <w:basedOn w:val="23"/>
    <w:link w:val="15"/>
    <w:qFormat/>
    <w:uiPriority w:val="99"/>
    <w:rPr>
      <w:rFonts w:ascii="Tahoma" w:hAnsi="Tahoma" w:eastAsia="宋体"/>
      <w:sz w:val="18"/>
      <w:szCs w:val="18"/>
    </w:rPr>
  </w:style>
  <w:style w:type="character" w:customStyle="1" w:styleId="37">
    <w:name w:val="页脚 字符"/>
    <w:basedOn w:val="23"/>
    <w:link w:val="14"/>
    <w:qFormat/>
    <w:uiPriority w:val="99"/>
    <w:rPr>
      <w:rFonts w:ascii="Tahoma" w:hAnsi="Tahoma" w:eastAsia="宋体"/>
      <w:sz w:val="18"/>
      <w:szCs w:val="18"/>
    </w:rPr>
  </w:style>
  <w:style w:type="character" w:customStyle="1" w:styleId="38">
    <w:name w:val="1111表头 Char"/>
    <w:basedOn w:val="23"/>
    <w:link w:val="39"/>
    <w:qFormat/>
    <w:uiPriority w:val="0"/>
    <w:rPr>
      <w:rFonts w:eastAsia="宋体"/>
      <w:b/>
      <w:kern w:val="2"/>
      <w:sz w:val="24"/>
      <w:szCs w:val="24"/>
    </w:rPr>
  </w:style>
  <w:style w:type="paragraph" w:customStyle="1" w:styleId="39">
    <w:name w:val="1111表头"/>
    <w:basedOn w:val="1"/>
    <w:next w:val="1"/>
    <w:link w:val="38"/>
    <w:qFormat/>
    <w:uiPriority w:val="0"/>
    <w:pPr>
      <w:widowControl w:val="0"/>
      <w:adjustRightInd/>
      <w:snapToGrid/>
      <w:spacing w:beforeLines="100" w:line="480" w:lineRule="exact"/>
      <w:ind w:firstLine="482"/>
    </w:pPr>
    <w:rPr>
      <w:rFonts w:asciiTheme="minorHAnsi" w:hAnsiTheme="minorHAnsi"/>
      <w:b/>
      <w:kern w:val="2"/>
      <w:sz w:val="24"/>
      <w:szCs w:val="24"/>
    </w:rPr>
  </w:style>
  <w:style w:type="character" w:customStyle="1" w:styleId="40">
    <w:name w:val="报告书正文 Char"/>
    <w:basedOn w:val="23"/>
    <w:link w:val="41"/>
    <w:qFormat/>
    <w:uiPriority w:val="0"/>
    <w:rPr>
      <w:rFonts w:ascii="宋体" w:hAnsi="宋体" w:eastAsia="宋体"/>
      <w:kern w:val="2"/>
      <w:sz w:val="24"/>
      <w:szCs w:val="28"/>
    </w:rPr>
  </w:style>
  <w:style w:type="paragraph" w:customStyle="1" w:styleId="41">
    <w:name w:val="报告书正文"/>
    <w:basedOn w:val="1"/>
    <w:link w:val="40"/>
    <w:qFormat/>
    <w:uiPriority w:val="0"/>
    <w:pPr>
      <w:widowControl w:val="0"/>
      <w:tabs>
        <w:tab w:val="left" w:pos="5925"/>
      </w:tabs>
      <w:adjustRightInd/>
      <w:snapToGrid/>
      <w:spacing w:line="480" w:lineRule="exact"/>
      <w:ind w:firstLine="480"/>
    </w:pPr>
    <w:rPr>
      <w:rFonts w:ascii="宋体" w:hAnsi="宋体"/>
      <w:kern w:val="2"/>
      <w:sz w:val="24"/>
      <w:szCs w:val="28"/>
    </w:rPr>
  </w:style>
  <w:style w:type="paragraph" w:customStyle="1" w:styleId="42">
    <w:name w:val="Char Char Char Char Char Char Char2"/>
    <w:basedOn w:val="1"/>
    <w:qFormat/>
    <w:uiPriority w:val="0"/>
    <w:pPr>
      <w:adjustRightInd/>
      <w:snapToGrid/>
      <w:spacing w:after="160" w:line="240" w:lineRule="exact"/>
      <w:ind w:firstLine="0" w:firstLineChars="0"/>
    </w:pPr>
    <w:rPr>
      <w:rFonts w:ascii="Verdana" w:hAnsi="Verdana" w:cs="Times New Roman"/>
      <w:sz w:val="20"/>
      <w:szCs w:val="20"/>
      <w:lang w:eastAsia="en-US"/>
    </w:rPr>
  </w:style>
  <w:style w:type="paragraph" w:customStyle="1" w:styleId="43">
    <w:name w:val="表格  内容"/>
    <w:basedOn w:val="1"/>
    <w:link w:val="44"/>
    <w:qFormat/>
    <w:uiPriority w:val="0"/>
    <w:pPr>
      <w:widowControl w:val="0"/>
      <w:autoSpaceDE w:val="0"/>
      <w:autoSpaceDN w:val="0"/>
      <w:snapToGrid/>
      <w:spacing w:line="240" w:lineRule="auto"/>
      <w:ind w:firstLine="0" w:firstLineChars="0"/>
      <w:jc w:val="center"/>
    </w:pPr>
    <w:rPr>
      <w:rFonts w:ascii="宋体" w:hAnsi="宋体" w:cs="Times New Roman"/>
      <w:sz w:val="21"/>
      <w:szCs w:val="18"/>
      <w:lang w:val="zh-CN"/>
    </w:rPr>
  </w:style>
  <w:style w:type="character" w:customStyle="1" w:styleId="44">
    <w:name w:val="表格  内容 Char"/>
    <w:basedOn w:val="23"/>
    <w:link w:val="43"/>
    <w:qFormat/>
    <w:uiPriority w:val="0"/>
    <w:rPr>
      <w:rFonts w:ascii="宋体" w:hAnsi="宋体" w:eastAsia="宋体" w:cs="Times New Roman"/>
      <w:sz w:val="21"/>
      <w:szCs w:val="18"/>
      <w:lang w:val="zh-CN"/>
    </w:rPr>
  </w:style>
  <w:style w:type="character" w:customStyle="1" w:styleId="45">
    <w:name w:val="font21"/>
    <w:basedOn w:val="23"/>
    <w:qFormat/>
    <w:uiPriority w:val="0"/>
    <w:rPr>
      <w:rFonts w:hint="eastAsia" w:ascii="宋体" w:hAnsi="宋体" w:eastAsia="宋体" w:cs="宋体"/>
      <w:color w:val="000000"/>
      <w:sz w:val="21"/>
      <w:szCs w:val="21"/>
      <w:u w:val="none"/>
    </w:rPr>
  </w:style>
  <w:style w:type="character" w:customStyle="1" w:styleId="46">
    <w:name w:val="font11"/>
    <w:basedOn w:val="23"/>
    <w:qFormat/>
    <w:uiPriority w:val="0"/>
    <w:rPr>
      <w:rFonts w:hint="eastAsia" w:ascii="宋体" w:hAnsi="宋体" w:eastAsia="宋体" w:cs="宋体"/>
      <w:color w:val="000000"/>
      <w:sz w:val="21"/>
      <w:szCs w:val="21"/>
      <w:u w:val="none"/>
    </w:rPr>
  </w:style>
  <w:style w:type="character" w:customStyle="1" w:styleId="47">
    <w:name w:val="font41"/>
    <w:basedOn w:val="23"/>
    <w:qFormat/>
    <w:uiPriority w:val="0"/>
    <w:rPr>
      <w:rFonts w:hint="default" w:ascii="Times New Roman" w:hAnsi="Times New Roman" w:cs="Times New Roman"/>
      <w:color w:val="000000"/>
      <w:sz w:val="21"/>
      <w:szCs w:val="21"/>
      <w:u w:val="none"/>
    </w:rPr>
  </w:style>
  <w:style w:type="table" w:customStyle="1" w:styleId="48">
    <w:name w:val="Table Normal"/>
    <w:semiHidden/>
    <w:unhideWhenUsed/>
    <w:qFormat/>
    <w:uiPriority w:val="2"/>
    <w:pPr>
      <w:widowControl w:val="0"/>
    </w:pPr>
    <w:rPr>
      <w:rFonts w:asciiTheme="minorHAnsi" w:hAnsiTheme="minorHAnsi" w:cstheme="minorBidi"/>
      <w:sz w:val="22"/>
      <w:szCs w:val="22"/>
      <w:lang w:eastAsia="en-US"/>
    </w:rPr>
    <w:tblPr>
      <w:tblCellMar>
        <w:top w:w="0" w:type="dxa"/>
        <w:left w:w="0" w:type="dxa"/>
        <w:bottom w:w="0" w:type="dxa"/>
        <w:right w:w="0" w:type="dxa"/>
      </w:tblCellMar>
    </w:tblPr>
  </w:style>
  <w:style w:type="paragraph" w:customStyle="1" w:styleId="49">
    <w:name w:val="Table Paragraph"/>
    <w:basedOn w:val="1"/>
    <w:qFormat/>
    <w:uiPriority w:val="1"/>
    <w:pPr>
      <w:widowControl w:val="0"/>
      <w:adjustRightInd/>
      <w:snapToGrid/>
      <w:spacing w:line="240" w:lineRule="auto"/>
      <w:ind w:firstLine="0" w:firstLineChars="0"/>
      <w:jc w:val="left"/>
    </w:pPr>
    <w:rPr>
      <w:rFonts w:asciiTheme="minorHAnsi" w:hAnsiTheme="minorHAnsi" w:eastAsiaTheme="minorEastAsia"/>
      <w:sz w:val="22"/>
      <w:lang w:eastAsia="en-US"/>
    </w:rPr>
  </w:style>
  <w:style w:type="table" w:customStyle="1" w:styleId="50">
    <w:name w:val="网格型1"/>
    <w:basedOn w:val="21"/>
    <w:qFormat/>
    <w:uiPriority w:val="59"/>
    <w:rPr>
      <w:rFonts w:eastAsia="微软雅黑"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图片名称"/>
    <w:basedOn w:val="1"/>
    <w:qFormat/>
    <w:uiPriority w:val="0"/>
    <w:pPr>
      <w:jc w:val="center"/>
    </w:pPr>
    <w:rPr>
      <w:rFonts w:ascii="宋体" w:hAnsi="宋体" w:cs="Times New Roman"/>
      <w:b/>
      <w:sz w:val="21"/>
      <w:szCs w:val="24"/>
    </w:rPr>
  </w:style>
  <w:style w:type="paragraph" w:customStyle="1" w:styleId="52">
    <w:name w:val="表头"/>
    <w:basedOn w:val="51"/>
    <w:qFormat/>
    <w:uiPriority w:val="0"/>
    <w:pPr>
      <w:ind w:firstLine="422"/>
    </w:pPr>
    <w:rPr>
      <w:rFonts w:eastAsia="黑体"/>
      <w:sz w:val="24"/>
    </w:rPr>
  </w:style>
  <w:style w:type="table" w:customStyle="1" w:styleId="53">
    <w:name w:val="样式1"/>
    <w:basedOn w:val="21"/>
    <w:qFormat/>
    <w:uiPriority w:val="99"/>
    <w:pPr>
      <w:jc w:val="center"/>
    </w:pPr>
    <w:rPr>
      <w:sz w:val="21"/>
    </w:rPr>
    <w:tblP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style>
  <w:style w:type="paragraph" w:customStyle="1" w:styleId="54">
    <w:name w:val="样式 样式 正文首行缩进 + 首行缩进:  2 字符 + 首行缩进:  2 字符"/>
    <w:basedOn w:val="1"/>
    <w:qFormat/>
    <w:uiPriority w:val="0"/>
    <w:pPr>
      <w:topLinePunct/>
      <w:ind w:firstLine="480"/>
      <w:textAlignment w:val="baseline"/>
    </w:pPr>
    <w:rPr>
      <w:rFonts w:hAnsi="宋体" w:eastAsia="Times New Roman"/>
      <w:sz w:val="24"/>
      <w:szCs w:val="20"/>
    </w:rPr>
  </w:style>
  <w:style w:type="paragraph" w:customStyle="1" w:styleId="55">
    <w:name w:val="样式 居中"/>
    <w:basedOn w:val="1"/>
    <w:qFormat/>
    <w:uiPriority w:val="0"/>
    <w:pPr>
      <w:jc w:val="center"/>
    </w:pPr>
    <w:rPr>
      <w:rFonts w:cs="宋体"/>
      <w:szCs w:val="20"/>
    </w:rPr>
  </w:style>
  <w:style w:type="paragraph" w:customStyle="1" w:styleId="56">
    <w:name w:val="正文01"/>
    <w:basedOn w:val="1"/>
    <w:qFormat/>
    <w:uiPriority w:val="0"/>
    <w:pPr>
      <w:spacing w:before="60" w:line="460" w:lineRule="exact"/>
    </w:pPr>
    <w:rPr>
      <w:rFonts w:ascii="Calibri" w:hAnsi="Calibri"/>
      <w:snapToGrid w:val="0"/>
      <w:color w:val="000000"/>
      <w:sz w:val="24"/>
      <w:szCs w:val="24"/>
    </w:rPr>
  </w:style>
  <w:style w:type="character" w:customStyle="1" w:styleId="57">
    <w:name w:val="正文文本 字符"/>
    <w:basedOn w:val="23"/>
    <w:link w:val="4"/>
    <w:qFormat/>
    <w:uiPriority w:val="0"/>
    <w:rPr>
      <w:rFonts w:ascii="仿宋_GB2312" w:hAnsi="Tahoma" w:eastAsia="楷体_GB2312" w:cstheme="minorBidi"/>
      <w:sz w:val="28"/>
      <w:szCs w:val="28"/>
    </w:rPr>
  </w:style>
  <w:style w:type="paragraph" w:customStyle="1" w:styleId="58">
    <w:name w:val="p0"/>
    <w:basedOn w:val="1"/>
    <w:qFormat/>
    <w:uiPriority w:val="0"/>
    <w:rPr>
      <w:rFonts w:ascii="Calibri" w:hAnsi="Calibri" w:cs="宋体"/>
      <w:szCs w:val="21"/>
    </w:rPr>
  </w:style>
  <w:style w:type="paragraph" w:customStyle="1" w:styleId="59">
    <w:name w:val="纯文本1"/>
    <w:basedOn w:val="1"/>
    <w:qFormat/>
    <w:uiPriority w:val="0"/>
    <w:pPr>
      <w:jc w:val="left"/>
    </w:pPr>
    <w:rPr>
      <w:rFonts w:ascii="宋体" w:hAnsi="Courier New"/>
      <w:sz w:val="24"/>
    </w:rPr>
  </w:style>
  <w:style w:type="paragraph" w:customStyle="1" w:styleId="60">
    <w:name w:val="WPSOffice手动目录 1"/>
    <w:qFormat/>
    <w:uiPriority w:val="0"/>
    <w:rPr>
      <w:rFonts w:ascii="Times New Roman" w:hAnsi="Times New Roman" w:eastAsia="宋体" w:cs="Times New Roman"/>
      <w:lang w:val="en-US" w:eastAsia="zh-CN" w:bidi="ar-SA"/>
    </w:rPr>
  </w:style>
  <w:style w:type="paragraph" w:customStyle="1" w:styleId="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62">
    <w:name w:val="highlight1"/>
    <w:basedOn w:val="23"/>
    <w:qFormat/>
    <w:uiPriority w:val="0"/>
    <w:rPr>
      <w:sz w:val="21"/>
      <w:szCs w:val="21"/>
    </w:rPr>
  </w:style>
  <w:style w:type="paragraph" w:customStyle="1" w:styleId="6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4">
    <w:name w:val="页脚1"/>
    <w:basedOn w:val="1"/>
    <w:qFormat/>
    <w:uiPriority w:val="0"/>
    <w:pPr>
      <w:tabs>
        <w:tab w:val="center" w:pos="4153"/>
        <w:tab w:val="right" w:pos="8306"/>
      </w:tabs>
      <w:jc w:val="left"/>
    </w:pPr>
    <w:rPr>
      <w:rFonts w:ascii="等线" w:hAnsi="等线" w:eastAsia="等线"/>
      <w:sz w:val="18"/>
    </w:rPr>
  </w:style>
  <w:style w:type="character" w:customStyle="1" w:styleId="65">
    <w:name w:val="正文文本缩进 字符"/>
    <w:basedOn w:val="23"/>
    <w:link w:val="3"/>
    <w:semiHidden/>
    <w:qFormat/>
    <w:uiPriority w:val="99"/>
    <w:rPr>
      <w:rFonts w:ascii="Tahoma" w:hAnsi="Tahoma" w:eastAsia="宋体" w:cstheme="minorBidi"/>
      <w:sz w:val="28"/>
      <w:szCs w:val="22"/>
    </w:rPr>
  </w:style>
  <w:style w:type="paragraph" w:customStyle="1" w:styleId="66">
    <w:name w:val="列出段落1"/>
    <w:basedOn w:val="1"/>
    <w:qFormat/>
    <w:uiPriority w:val="34"/>
    <w:pPr>
      <w:widowControl w:val="0"/>
      <w:adjustRightInd/>
      <w:snapToGrid/>
      <w:spacing w:line="240" w:lineRule="auto"/>
      <w:ind w:firstLine="420"/>
    </w:pPr>
    <w:rPr>
      <w:rFonts w:asciiTheme="minorHAnsi" w:hAnsiTheme="minorHAnsi" w:eastAsiaTheme="minorEastAsia"/>
      <w:kern w:val="2"/>
      <w:sz w:val="21"/>
    </w:rPr>
  </w:style>
  <w:style w:type="table" w:customStyle="1" w:styleId="67">
    <w:name w:val="网格型2"/>
    <w:basedOn w:val="21"/>
    <w:qFormat/>
    <w:uiPriority w:val="39"/>
    <w:rPr>
      <w:rFonts w:ascii="等线" w:hAnsi="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8">
    <w:name w:val="正文文本缩进 21"/>
    <w:basedOn w:val="1"/>
    <w:qFormat/>
    <w:uiPriority w:val="0"/>
    <w:pPr>
      <w:ind w:firstLine="640"/>
    </w:pPr>
    <w:rPr>
      <w:sz w:val="32"/>
    </w:rPr>
  </w:style>
  <w:style w:type="paragraph" w:customStyle="1" w:styleId="69">
    <w:name w:val="6正文"/>
    <w:qFormat/>
    <w:uiPriority w:val="0"/>
    <w:pPr>
      <w:widowControl w:val="0"/>
      <w:spacing w:line="520" w:lineRule="exact"/>
      <w:ind w:firstLine="200" w:firstLineChars="200"/>
      <w:jc w:val="both"/>
    </w:pPr>
    <w:rPr>
      <w:rFonts w:ascii="Calibri" w:hAnsi="Calibri" w:eastAsia="宋体" w:cs="Times New Roman"/>
      <w:kern w:val="2"/>
      <w:sz w:val="24"/>
      <w:szCs w:val="28"/>
      <w:lang w:val="en-US" w:eastAsia="zh-CN" w:bidi="ar-SA"/>
    </w:rPr>
  </w:style>
  <w:style w:type="paragraph" w:customStyle="1" w:styleId="70">
    <w:name w:val="目录"/>
    <w:basedOn w:val="1"/>
    <w:qFormat/>
    <w:uiPriority w:val="0"/>
    <w:pPr>
      <w:tabs>
        <w:tab w:val="right" w:leader="dot" w:pos="8505"/>
      </w:tabs>
      <w:overflowPunct w:val="0"/>
      <w:adjustRightInd w:val="0"/>
      <w:ind w:left="568" w:right="851" w:hanging="284"/>
      <w:textAlignment w:val="baseline"/>
    </w:pPr>
    <w:rPr>
      <w:kern w:val="0"/>
      <w:szCs w:val="20"/>
    </w:rPr>
  </w:style>
  <w:style w:type="paragraph" w:customStyle="1" w:styleId="71">
    <w:name w:val="表格文字"/>
    <w:basedOn w:val="1"/>
    <w:qFormat/>
    <w:uiPriority w:val="0"/>
    <w:pPr>
      <w:widowControl/>
      <w:jc w:val="center"/>
    </w:pPr>
    <w:rPr>
      <w:rFonts w:ascii="仿宋_GB2312" w:hAnsi="Arial Black" w:eastAsia="仿宋_GB2312" w:cs="宋体"/>
      <w:kern w:val="44"/>
      <w:sz w:val="24"/>
      <w:szCs w:val="20"/>
    </w:rPr>
  </w:style>
  <w:style w:type="character" w:customStyle="1" w:styleId="72">
    <w:name w:val="font01"/>
    <w:basedOn w:val="23"/>
    <w:qFormat/>
    <w:uiPriority w:val="0"/>
    <w:rPr>
      <w:rFonts w:hint="eastAsia" w:ascii="宋体" w:hAnsi="宋体" w:eastAsia="宋体" w:cs="宋体"/>
      <w:color w:val="000000"/>
      <w:sz w:val="21"/>
      <w:szCs w:val="21"/>
      <w:u w:val="none"/>
    </w:rPr>
  </w:style>
  <w:style w:type="paragraph" w:customStyle="1" w:styleId="73">
    <w:name w:val="Plain Text"/>
    <w:qFormat/>
    <w:uiPriority w:val="0"/>
    <w:pPr>
      <w:adjustRightInd w:val="0"/>
      <w:textAlignment w:val="baseline"/>
    </w:pPr>
    <w:rPr>
      <w:rFonts w:ascii="宋体" w:hAnsi="Courier New" w:eastAsia="宋体" w:cs="Times New Roman"/>
      <w:sz w:val="24"/>
      <w:lang w:val="en-US" w:eastAsia="zh-CN" w:bidi="ar-SA"/>
    </w:rPr>
  </w:style>
  <w:style w:type="paragraph" w:customStyle="1" w:styleId="74">
    <w:name w:val="Body text|1"/>
    <w:basedOn w:val="1"/>
    <w:qFormat/>
    <w:uiPriority w:val="0"/>
    <w:pPr>
      <w:widowControl w:val="0"/>
      <w:shd w:val="clear" w:color="auto" w:fill="auto"/>
      <w:spacing w:line="418" w:lineRule="auto"/>
      <w:ind w:firstLine="400"/>
    </w:pPr>
    <w:rPr>
      <w:rFonts w:ascii="宋体" w:hAnsi="宋体" w:eastAsia="宋体" w:cs="宋体"/>
      <w:sz w:val="30"/>
      <w:szCs w:val="30"/>
      <w:u w:val="none"/>
      <w:shd w:val="clear" w:color="auto" w:fill="auto"/>
      <w:lang w:val="zh-TW" w:eastAsia="zh-TW" w:bidi="zh-TW"/>
    </w:rPr>
  </w:style>
  <w:style w:type="paragraph" w:customStyle="1" w:styleId="75">
    <w:name w:val="7表格内容"/>
    <w:basedOn w:val="1"/>
    <w:next w:val="76"/>
    <w:qFormat/>
    <w:uiPriority w:val="0"/>
    <w:pPr>
      <w:adjustRightInd w:val="0"/>
      <w:snapToGrid w:val="0"/>
      <w:spacing w:line="360" w:lineRule="atLeast"/>
      <w:jc w:val="center"/>
      <w:textAlignment w:val="baseline"/>
    </w:pPr>
    <w:rPr>
      <w:rFonts w:eastAsia="宋体"/>
      <w:sz w:val="21"/>
      <w:lang w:val="en-US" w:eastAsia="zh-CN"/>
    </w:rPr>
  </w:style>
  <w:style w:type="paragraph" w:customStyle="1" w:styleId="76">
    <w:name w:val="5正文"/>
    <w:qFormat/>
    <w:uiPriority w:val="0"/>
    <w:pPr>
      <w:widowControl w:val="0"/>
      <w:spacing w:line="520" w:lineRule="exact"/>
      <w:ind w:firstLine="200" w:firstLineChars="200"/>
      <w:jc w:val="both"/>
    </w:pPr>
    <w:rPr>
      <w:rFonts w:ascii="Times New Roman" w:hAnsi="Times New Roman" w:eastAsia="宋体" w:cs="Times New Roman"/>
      <w:kern w:val="2"/>
      <w:sz w:val="24"/>
      <w:lang w:val="en-US" w:eastAsia="zh-CN" w:bidi="ar-SA"/>
    </w:rPr>
  </w:style>
  <w:style w:type="character" w:customStyle="1" w:styleId="77">
    <w:name w:val="font91"/>
    <w:basedOn w:val="23"/>
    <w:qFormat/>
    <w:uiPriority w:val="0"/>
    <w:rPr>
      <w:rFonts w:ascii="Arial" w:hAnsi="Arial" w:cs="Arial"/>
      <w:color w:val="000000"/>
      <w:sz w:val="20"/>
      <w:szCs w:val="20"/>
      <w:u w:val="none"/>
    </w:rPr>
  </w:style>
  <w:style w:type="character" w:customStyle="1" w:styleId="78">
    <w:name w:val="font101"/>
    <w:basedOn w:val="23"/>
    <w:qFormat/>
    <w:uiPriority w:val="0"/>
    <w:rPr>
      <w:rFonts w:hint="default" w:ascii="Times New Roman" w:hAnsi="Times New Roman" w:cs="Times New Roman"/>
      <w:color w:val="000000"/>
      <w:sz w:val="20"/>
      <w:szCs w:val="20"/>
      <w:u w:val="none"/>
      <w:vertAlign w:val="superscript"/>
    </w:rPr>
  </w:style>
  <w:style w:type="character" w:customStyle="1" w:styleId="79">
    <w:name w:val="font31"/>
    <w:basedOn w:val="23"/>
    <w:qFormat/>
    <w:uiPriority w:val="0"/>
    <w:rPr>
      <w:rFonts w:hint="eastAsia" w:ascii="宋体" w:hAnsi="宋体" w:eastAsia="宋体" w:cs="宋体"/>
      <w:color w:val="000000"/>
      <w:sz w:val="21"/>
      <w:szCs w:val="21"/>
      <w:u w:val="none"/>
    </w:rPr>
  </w:style>
  <w:style w:type="character" w:customStyle="1" w:styleId="80">
    <w:name w:val="font81"/>
    <w:basedOn w:val="23"/>
    <w:qFormat/>
    <w:uiPriority w:val="0"/>
    <w:rPr>
      <w:rFonts w:hint="eastAsia" w:ascii="宋体" w:hAnsi="宋体" w:eastAsia="宋体" w:cs="宋体"/>
      <w:color w:val="000000"/>
      <w:sz w:val="28"/>
      <w:szCs w:val="28"/>
      <w:u w:val="none"/>
    </w:rPr>
  </w:style>
  <w:style w:type="paragraph" w:customStyle="1" w:styleId="81">
    <w:name w:val="正文文本 (2)"/>
    <w:basedOn w:val="1"/>
    <w:qFormat/>
    <w:uiPriority w:val="0"/>
    <w:pPr>
      <w:shd w:val="clear" w:color="auto" w:fill="FFFFFF"/>
      <w:snapToGrid/>
      <w:spacing w:after="840" w:line="0" w:lineRule="atLeast"/>
      <w:ind w:firstLine="0" w:firstLineChars="0"/>
    </w:pPr>
    <w:rPr>
      <w:rFonts w:ascii="MingLiU" w:hAnsi="MingLiU" w:eastAsia="MingLiU" w:cs="MingLiU"/>
      <w:b/>
      <w:bCs/>
      <w:spacing w:val="10"/>
      <w:sz w:val="26"/>
      <w:szCs w:val="26"/>
    </w:rPr>
  </w:style>
  <w:style w:type="paragraph" w:customStyle="1" w:styleId="82">
    <w:name w:val="插图标题"/>
    <w:basedOn w:val="1"/>
    <w:qFormat/>
    <w:uiPriority w:val="0"/>
    <w:pPr>
      <w:adjustRightInd w:val="0"/>
      <w:spacing w:beforeLines="10" w:line="460" w:lineRule="exact"/>
      <w:ind w:firstLine="0" w:firstLineChars="0"/>
      <w:jc w:val="center"/>
    </w:pPr>
    <w:rPr>
      <w:rFonts w:eastAsia="宋体"/>
      <w:b/>
      <w:snapToGrid w:val="0"/>
      <w:kern w:val="0"/>
      <w:sz w:val="24"/>
    </w:rPr>
  </w:style>
  <w:style w:type="paragraph" w:customStyle="1" w:styleId="83">
    <w:name w:val="表格"/>
    <w:basedOn w:val="1"/>
    <w:qFormat/>
    <w:uiPriority w:val="0"/>
    <w:pPr>
      <w:keepNext/>
      <w:widowControl w:val="0"/>
      <w:adjustRightInd w:val="0"/>
      <w:spacing w:line="312" w:lineRule="atLeast"/>
      <w:jc w:val="center"/>
      <w:textAlignment w:val="baseline"/>
    </w:pPr>
  </w:style>
  <w:style w:type="paragraph" w:customStyle="1" w:styleId="84">
    <w:name w:val="报告正文"/>
    <w:basedOn w:val="1"/>
    <w:qFormat/>
    <w:uiPriority w:val="0"/>
    <w:pPr>
      <w:ind w:firstLine="200"/>
    </w:pPr>
    <w:rPr>
      <w:kern w:val="1"/>
      <w:sz w:val="28"/>
    </w:rPr>
  </w:style>
  <w:style w:type="paragraph" w:customStyle="1" w:styleId="85">
    <w:name w:val="_Style 38"/>
    <w:basedOn w:val="1"/>
    <w:next w:val="4"/>
    <w:qFormat/>
    <w:uiPriority w:val="0"/>
    <w:pPr>
      <w:spacing w:after="120"/>
    </w:pPr>
  </w:style>
  <w:style w:type="paragraph" w:customStyle="1" w:styleId="86">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87">
    <w:name w:val="新标题样式"/>
    <w:basedOn w:val="1"/>
    <w:qFormat/>
    <w:uiPriority w:val="0"/>
    <w:pPr>
      <w:tabs>
        <w:tab w:val="left" w:pos="567"/>
      </w:tabs>
      <w:spacing w:line="360" w:lineRule="auto"/>
    </w:pPr>
    <w:rPr>
      <w:rFonts w:eastAsia="黑体"/>
      <w:b/>
      <w:spacing w:val="20"/>
      <w:sz w:val="24"/>
      <w:szCs w:val="20"/>
    </w:rPr>
  </w:style>
  <w:style w:type="paragraph" w:customStyle="1" w:styleId="88">
    <w:name w:val="标题5"/>
    <w:basedOn w:val="1"/>
    <w:next w:val="1"/>
    <w:qFormat/>
    <w:uiPriority w:val="0"/>
    <w:pPr>
      <w:widowControl w:val="0"/>
      <w:spacing w:line="240" w:lineRule="auto"/>
      <w:ind w:firstLine="0" w:firstLineChars="0"/>
      <w:jc w:val="both"/>
    </w:pPr>
    <w:rPr>
      <w:rFonts w:hint="eastAsia" w:ascii="仿宋" w:hAnsi="仿宋"/>
      <w:sz w:val="28"/>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8" Type="http://schemas.openxmlformats.org/officeDocument/2006/relationships/fontTable" Target="fontTable.xml"/><Relationship Id="rId77" Type="http://schemas.openxmlformats.org/officeDocument/2006/relationships/customXml" Target="../customXml/item2.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52.jpeg"/><Relationship Id="rId73" Type="http://schemas.openxmlformats.org/officeDocument/2006/relationships/image" Target="media/image51.jpeg"/><Relationship Id="rId72" Type="http://schemas.openxmlformats.org/officeDocument/2006/relationships/image" Target="media/image50.jpeg"/><Relationship Id="rId71" Type="http://schemas.openxmlformats.org/officeDocument/2006/relationships/image" Target="media/image49.jpeg"/><Relationship Id="rId70" Type="http://schemas.openxmlformats.org/officeDocument/2006/relationships/image" Target="media/image48.jpeg"/><Relationship Id="rId7" Type="http://schemas.openxmlformats.org/officeDocument/2006/relationships/header" Target="header3.xml"/><Relationship Id="rId69" Type="http://schemas.openxmlformats.org/officeDocument/2006/relationships/image" Target="media/image47.jpeg"/><Relationship Id="rId68" Type="http://schemas.openxmlformats.org/officeDocument/2006/relationships/image" Target="media/image46.jpeg"/><Relationship Id="rId67" Type="http://schemas.openxmlformats.org/officeDocument/2006/relationships/image" Target="media/image45.jpeg"/><Relationship Id="rId66" Type="http://schemas.openxmlformats.org/officeDocument/2006/relationships/image" Target="media/image44.jpeg"/><Relationship Id="rId65" Type="http://schemas.openxmlformats.org/officeDocument/2006/relationships/image" Target="media/image43.jpeg"/><Relationship Id="rId64" Type="http://schemas.openxmlformats.org/officeDocument/2006/relationships/image" Target="media/image42.jpeg"/><Relationship Id="rId63" Type="http://schemas.openxmlformats.org/officeDocument/2006/relationships/image" Target="media/image41.jpeg"/><Relationship Id="rId62" Type="http://schemas.openxmlformats.org/officeDocument/2006/relationships/image" Target="media/image40.jpeg"/><Relationship Id="rId61" Type="http://schemas.openxmlformats.org/officeDocument/2006/relationships/image" Target="media/image39.jpeg"/><Relationship Id="rId60" Type="http://schemas.openxmlformats.org/officeDocument/2006/relationships/image" Target="media/image38.jpeg"/><Relationship Id="rId6" Type="http://schemas.openxmlformats.org/officeDocument/2006/relationships/header" Target="header2.xml"/><Relationship Id="rId59" Type="http://schemas.openxmlformats.org/officeDocument/2006/relationships/image" Target="media/image37.jpeg"/><Relationship Id="rId58" Type="http://schemas.openxmlformats.org/officeDocument/2006/relationships/image" Target="media/image36.jpeg"/><Relationship Id="rId57" Type="http://schemas.openxmlformats.org/officeDocument/2006/relationships/image" Target="media/image35.jpeg"/><Relationship Id="rId56" Type="http://schemas.openxmlformats.org/officeDocument/2006/relationships/image" Target="media/image34.jpeg"/><Relationship Id="rId55" Type="http://schemas.openxmlformats.org/officeDocument/2006/relationships/image" Target="media/image33.jpeg"/><Relationship Id="rId54" Type="http://schemas.openxmlformats.org/officeDocument/2006/relationships/image" Target="media/image32.jpeg"/><Relationship Id="rId53" Type="http://schemas.openxmlformats.org/officeDocument/2006/relationships/image" Target="media/image31.jpeg"/><Relationship Id="rId52" Type="http://schemas.openxmlformats.org/officeDocument/2006/relationships/image" Target="media/image30.jpeg"/><Relationship Id="rId51" Type="http://schemas.openxmlformats.org/officeDocument/2006/relationships/image" Target="media/image29.jpeg"/><Relationship Id="rId50" Type="http://schemas.openxmlformats.org/officeDocument/2006/relationships/image" Target="media/image28.jpeg"/><Relationship Id="rId5" Type="http://schemas.openxmlformats.org/officeDocument/2006/relationships/header" Target="header1.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emf"/><Relationship Id="rId28" Type="http://schemas.openxmlformats.org/officeDocument/2006/relationships/oleObject" Target="embeddings/oleObject7.bin"/><Relationship Id="rId27" Type="http://schemas.openxmlformats.org/officeDocument/2006/relationships/image" Target="media/image6.emf"/><Relationship Id="rId26" Type="http://schemas.openxmlformats.org/officeDocument/2006/relationships/oleObject" Target="embeddings/oleObject6.bin"/><Relationship Id="rId25" Type="http://schemas.openxmlformats.org/officeDocument/2006/relationships/image" Target="media/image5.emf"/><Relationship Id="rId24" Type="http://schemas.openxmlformats.org/officeDocument/2006/relationships/oleObject" Target="embeddings/oleObject5.bin"/><Relationship Id="rId23" Type="http://schemas.openxmlformats.org/officeDocument/2006/relationships/image" Target="media/image4.emf"/><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D8A92B-45B2-46B9-A63C-D1D03301CF21}">
  <ds:schemaRefs/>
</ds:datastoreItem>
</file>

<file path=docProps/app.xml><?xml version="1.0" encoding="utf-8"?>
<Properties xmlns="http://schemas.openxmlformats.org/officeDocument/2006/extended-properties" xmlns:vt="http://schemas.openxmlformats.org/officeDocument/2006/docPropsVTypes">
  <Template>Normal</Template>
  <Pages>52</Pages>
  <Words>3819</Words>
  <Characters>21772</Characters>
  <Lines>181</Lines>
  <Paragraphs>51</Paragraphs>
  <TotalTime>2</TotalTime>
  <ScaleCrop>false</ScaleCrop>
  <LinksUpToDate>false</LinksUpToDate>
  <CharactersWithSpaces>25540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2019-10-26T02:06:00Z</dcterms:created>
  <dc:creator>Administrator</dc:creator>
  <cp:lastModifiedBy>上帝儿</cp:lastModifiedBy>
  <cp:lastPrinted>2021-09-01T02:03:00Z</cp:lastPrinted>
  <dcterms:modified xsi:type="dcterms:W3CDTF">2021-09-30T10:07:45Z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60D02BE3E9CF407A8E9F10E7B3AAEB2B</vt:lpwstr>
  </property>
</Properties>
</file>